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C1" w:rsidRDefault="008961C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961C1" w:rsidRDefault="008961C1">
      <w:pPr>
        <w:pStyle w:val="ConsPlusNormal"/>
        <w:jc w:val="both"/>
        <w:outlineLvl w:val="0"/>
      </w:pPr>
    </w:p>
    <w:p w:rsidR="008961C1" w:rsidRDefault="008961C1">
      <w:pPr>
        <w:pStyle w:val="ConsPlusNormal"/>
        <w:outlineLvl w:val="0"/>
      </w:pPr>
      <w:r>
        <w:t>Зарегистрировано в Минюсте России 26 августа 2020 г. N 59486</w:t>
      </w:r>
    </w:p>
    <w:p w:rsidR="008961C1" w:rsidRDefault="008961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</w:pPr>
      <w:r>
        <w:t>МИНИСТЕРСТВО НАУКИ И ВЫСШЕГО ОБРАЗОВАНИЯ</w:t>
      </w:r>
    </w:p>
    <w:p w:rsidR="008961C1" w:rsidRDefault="008961C1">
      <w:pPr>
        <w:pStyle w:val="ConsPlusTitle"/>
        <w:jc w:val="center"/>
      </w:pPr>
      <w:r>
        <w:t>РОССИЙСКОЙ ФЕДЕРАЦИИ</w:t>
      </w:r>
    </w:p>
    <w:p w:rsidR="008961C1" w:rsidRDefault="008961C1">
      <w:pPr>
        <w:pStyle w:val="ConsPlusTitle"/>
        <w:jc w:val="center"/>
      </w:pPr>
    </w:p>
    <w:p w:rsidR="008961C1" w:rsidRDefault="008961C1">
      <w:pPr>
        <w:pStyle w:val="ConsPlusTitle"/>
        <w:jc w:val="center"/>
      </w:pPr>
      <w:r>
        <w:t>ПРИКАЗ</w:t>
      </w:r>
    </w:p>
    <w:p w:rsidR="008961C1" w:rsidRDefault="008961C1">
      <w:pPr>
        <w:pStyle w:val="ConsPlusTitle"/>
        <w:jc w:val="center"/>
      </w:pPr>
      <w:r>
        <w:t>от 13 августа 2020 г. N 1004</w:t>
      </w:r>
    </w:p>
    <w:p w:rsidR="008961C1" w:rsidRDefault="008961C1">
      <w:pPr>
        <w:pStyle w:val="ConsPlusTitle"/>
        <w:jc w:val="center"/>
      </w:pPr>
    </w:p>
    <w:p w:rsidR="008961C1" w:rsidRDefault="008961C1">
      <w:pPr>
        <w:pStyle w:val="ConsPlusTitle"/>
        <w:jc w:val="center"/>
      </w:pPr>
      <w:r>
        <w:t>ОБ УТВЕРЖДЕНИИ</w:t>
      </w:r>
    </w:p>
    <w:p w:rsidR="008961C1" w:rsidRDefault="008961C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961C1" w:rsidRDefault="008961C1">
      <w:pPr>
        <w:pStyle w:val="ConsPlusTitle"/>
        <w:jc w:val="center"/>
      </w:pPr>
      <w:r>
        <w:t>ВЫСШЕГО ОБРАЗОВАНИЯ - МАГИСТРАТУРА ПО НАПРАВЛЕНИЮ</w:t>
      </w:r>
    </w:p>
    <w:p w:rsidR="008961C1" w:rsidRDefault="008961C1">
      <w:pPr>
        <w:pStyle w:val="ConsPlusTitle"/>
        <w:jc w:val="center"/>
      </w:pPr>
      <w:r>
        <w:t>ПОДГОТОВКИ 54.04.01 ДИЗАЙН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54.04.01 Дизайн (далее - стандарт).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54.04.01 Дизайн (уровень магистратуры), утвержденным приказом Министерства образования и науки Российской Федерации от 21 марта 2016 г. N 255 (зарегистрирован Министерством юстиции Российской Федерации 20 апреля 2016 г., регистрационный N 41870), прекращается 31 декабря 2020 года.</w:t>
      </w:r>
      <w:proofErr w:type="gramEnd"/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right"/>
      </w:pPr>
      <w:r>
        <w:t>Врио Министра</w:t>
      </w:r>
    </w:p>
    <w:p w:rsidR="008961C1" w:rsidRDefault="008961C1">
      <w:pPr>
        <w:pStyle w:val="ConsPlusNormal"/>
        <w:jc w:val="right"/>
      </w:pPr>
      <w:r>
        <w:t>А.В.НАРУКАВНИКОВ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right"/>
        <w:outlineLvl w:val="0"/>
      </w:pPr>
      <w:r>
        <w:t>Приложение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right"/>
      </w:pPr>
      <w:r>
        <w:t>Утвержден</w:t>
      </w:r>
    </w:p>
    <w:p w:rsidR="008961C1" w:rsidRDefault="008961C1">
      <w:pPr>
        <w:pStyle w:val="ConsPlusNormal"/>
        <w:jc w:val="right"/>
      </w:pPr>
      <w:r>
        <w:t>приказом Министерства науки</w:t>
      </w:r>
    </w:p>
    <w:p w:rsidR="008961C1" w:rsidRDefault="008961C1">
      <w:pPr>
        <w:pStyle w:val="ConsPlusNormal"/>
        <w:jc w:val="right"/>
      </w:pPr>
      <w:r>
        <w:t>и высшего образования</w:t>
      </w:r>
    </w:p>
    <w:p w:rsidR="008961C1" w:rsidRDefault="008961C1">
      <w:pPr>
        <w:pStyle w:val="ConsPlusNormal"/>
        <w:jc w:val="right"/>
      </w:pPr>
      <w:r>
        <w:t>Российской Федерации</w:t>
      </w:r>
    </w:p>
    <w:p w:rsidR="008961C1" w:rsidRDefault="008961C1">
      <w:pPr>
        <w:pStyle w:val="ConsPlusNormal"/>
        <w:jc w:val="right"/>
      </w:pPr>
      <w:r>
        <w:t>от 13 августа 2020 г. N 1004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8961C1" w:rsidRDefault="008961C1">
      <w:pPr>
        <w:pStyle w:val="ConsPlusTitle"/>
        <w:jc w:val="center"/>
      </w:pPr>
      <w:r>
        <w:t>ВЫСШЕГО ОБРАЗОВАНИЯ - МАГИСТРАТУРА ПО НАПРАВЛЕНИЮ</w:t>
      </w:r>
    </w:p>
    <w:p w:rsidR="008961C1" w:rsidRDefault="008961C1">
      <w:pPr>
        <w:pStyle w:val="ConsPlusTitle"/>
        <w:jc w:val="center"/>
      </w:pPr>
      <w:r>
        <w:t>ПОДГОТОВКИ 54.04.01 ДИЗАЙН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  <w:outlineLvl w:val="1"/>
      </w:pPr>
      <w:r>
        <w:t>I. Общие положения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54.04.01 Дизайн (далее соответственно - программа магистратуры, направление подготовки).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 &lt;1&gt;.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2018, N 32, ст. 5110).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8961C1" w:rsidRDefault="008961C1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8961C1" w:rsidRDefault="008961C1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образования, дополнительного профессионального образования; научных исследований);</w:t>
      </w:r>
    </w:p>
    <w:p w:rsidR="008961C1" w:rsidRDefault="008961C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04</w:t>
        </w:r>
      </w:hyperlink>
      <w:r>
        <w:t xml:space="preserve"> Культура, искусство (в сферах: дизайна; изобразительного искусства; культурно-просветительской и художественно-творческой деятельности);</w:t>
      </w:r>
    </w:p>
    <w:p w:rsidR="008961C1" w:rsidRDefault="008961C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10</w:t>
        </w:r>
      </w:hyperlink>
      <w:r>
        <w:t xml:space="preserve"> Архитектура, проектирование, геодезия, топография и дизайн (в сфере дизайна);</w:t>
      </w:r>
    </w:p>
    <w:p w:rsidR="008961C1" w:rsidRDefault="008961C1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11</w:t>
        </w:r>
      </w:hyperlink>
      <w:r>
        <w:t xml:space="preserve"> Средства массовой информации, издательство и полиграфия (в сфере дизайна);</w:t>
      </w:r>
    </w:p>
    <w:p w:rsidR="008961C1" w:rsidRDefault="008961C1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21</w:t>
        </w:r>
      </w:hyperlink>
      <w:r>
        <w:t xml:space="preserve"> Легкая и текстильная промышленность (в сфере дизайна);</w:t>
      </w:r>
    </w:p>
    <w:p w:rsidR="008961C1" w:rsidRDefault="008961C1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31</w:t>
        </w:r>
      </w:hyperlink>
      <w:r>
        <w:t>. Автомобилестроение (в сфере дизайна);</w:t>
      </w:r>
    </w:p>
    <w:p w:rsidR="008961C1" w:rsidRDefault="008961C1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(в сфере дизайна).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961C1" w:rsidRDefault="008961C1">
      <w:pPr>
        <w:pStyle w:val="ConsPlusNormal"/>
        <w:spacing w:before="220"/>
        <w:ind w:firstLine="540"/>
        <w:jc w:val="both"/>
      </w:pPr>
      <w:bookmarkStart w:id="4" w:name="P79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художественно-творческий;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проектный;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информационно-коммуникативный;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экспертно-консультационный;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8961C1" w:rsidRDefault="008961C1">
      <w:pPr>
        <w:pStyle w:val="ConsPlusNormal"/>
        <w:spacing w:before="220"/>
        <w:ind w:firstLine="540"/>
        <w:jc w:val="both"/>
      </w:pPr>
      <w:hyperlink w:anchor="P10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8961C1" w:rsidRDefault="008961C1">
      <w:pPr>
        <w:pStyle w:val="ConsPlusNormal"/>
        <w:spacing w:before="220"/>
        <w:ind w:firstLine="540"/>
        <w:jc w:val="both"/>
      </w:pPr>
      <w:hyperlink w:anchor="P11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8961C1" w:rsidRDefault="008961C1">
      <w:pPr>
        <w:pStyle w:val="ConsPlusNormal"/>
        <w:spacing w:before="220"/>
        <w:ind w:firstLine="540"/>
        <w:jc w:val="both"/>
      </w:pPr>
      <w:hyperlink w:anchor="P11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right"/>
      </w:pPr>
      <w:r>
        <w:t>Таблица</w:t>
      </w:r>
    </w:p>
    <w:p w:rsidR="008961C1" w:rsidRDefault="00896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4252"/>
        <w:gridCol w:w="3288"/>
      </w:tblGrid>
      <w:tr w:rsidR="008961C1">
        <w:tc>
          <w:tcPr>
            <w:tcW w:w="5783" w:type="dxa"/>
            <w:gridSpan w:val="2"/>
          </w:tcPr>
          <w:p w:rsidR="008961C1" w:rsidRDefault="008961C1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288" w:type="dxa"/>
          </w:tcPr>
          <w:p w:rsidR="008961C1" w:rsidRDefault="008961C1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8961C1">
        <w:tc>
          <w:tcPr>
            <w:tcW w:w="1531" w:type="dxa"/>
          </w:tcPr>
          <w:p w:rsidR="008961C1" w:rsidRDefault="008961C1">
            <w:pPr>
              <w:pStyle w:val="ConsPlusNormal"/>
              <w:jc w:val="center"/>
            </w:pPr>
            <w:bookmarkStart w:id="5" w:name="P107"/>
            <w:bookmarkEnd w:id="5"/>
            <w:r>
              <w:t>Блок 1</w:t>
            </w:r>
          </w:p>
        </w:tc>
        <w:tc>
          <w:tcPr>
            <w:tcW w:w="4252" w:type="dxa"/>
          </w:tcPr>
          <w:p w:rsidR="008961C1" w:rsidRDefault="008961C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288" w:type="dxa"/>
          </w:tcPr>
          <w:p w:rsidR="008961C1" w:rsidRDefault="008961C1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8961C1">
        <w:tc>
          <w:tcPr>
            <w:tcW w:w="1531" w:type="dxa"/>
          </w:tcPr>
          <w:p w:rsidR="008961C1" w:rsidRDefault="008961C1">
            <w:pPr>
              <w:pStyle w:val="ConsPlusNormal"/>
              <w:jc w:val="center"/>
            </w:pPr>
            <w:bookmarkStart w:id="6" w:name="P110"/>
            <w:bookmarkEnd w:id="6"/>
            <w:r>
              <w:t>Блок 2</w:t>
            </w:r>
          </w:p>
        </w:tc>
        <w:tc>
          <w:tcPr>
            <w:tcW w:w="4252" w:type="dxa"/>
          </w:tcPr>
          <w:p w:rsidR="008961C1" w:rsidRDefault="008961C1">
            <w:pPr>
              <w:pStyle w:val="ConsPlusNormal"/>
            </w:pPr>
            <w:r>
              <w:t>Практика</w:t>
            </w:r>
          </w:p>
        </w:tc>
        <w:tc>
          <w:tcPr>
            <w:tcW w:w="3288" w:type="dxa"/>
          </w:tcPr>
          <w:p w:rsidR="008961C1" w:rsidRDefault="008961C1">
            <w:pPr>
              <w:pStyle w:val="ConsPlusNormal"/>
              <w:jc w:val="center"/>
            </w:pPr>
            <w:r>
              <w:t>не менее 40</w:t>
            </w:r>
          </w:p>
        </w:tc>
      </w:tr>
      <w:tr w:rsidR="008961C1">
        <w:tc>
          <w:tcPr>
            <w:tcW w:w="1531" w:type="dxa"/>
          </w:tcPr>
          <w:p w:rsidR="008961C1" w:rsidRDefault="008961C1">
            <w:pPr>
              <w:pStyle w:val="ConsPlusNormal"/>
              <w:jc w:val="center"/>
            </w:pPr>
            <w:bookmarkStart w:id="7" w:name="P113"/>
            <w:bookmarkEnd w:id="7"/>
            <w:r>
              <w:t>Блок 3</w:t>
            </w:r>
          </w:p>
        </w:tc>
        <w:tc>
          <w:tcPr>
            <w:tcW w:w="4252" w:type="dxa"/>
          </w:tcPr>
          <w:p w:rsidR="008961C1" w:rsidRDefault="008961C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88" w:type="dxa"/>
          </w:tcPr>
          <w:p w:rsidR="008961C1" w:rsidRDefault="008961C1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8961C1">
        <w:tc>
          <w:tcPr>
            <w:tcW w:w="5783" w:type="dxa"/>
            <w:gridSpan w:val="2"/>
          </w:tcPr>
          <w:p w:rsidR="008961C1" w:rsidRDefault="008961C1">
            <w:pPr>
              <w:pStyle w:val="ConsPlusNormal"/>
              <w:ind w:firstLine="283"/>
            </w:pPr>
            <w:r>
              <w:t>Объем программы магистратуры</w:t>
            </w:r>
          </w:p>
        </w:tc>
        <w:tc>
          <w:tcPr>
            <w:tcW w:w="3288" w:type="dxa"/>
          </w:tcPr>
          <w:p w:rsidR="008961C1" w:rsidRDefault="008961C1">
            <w:pPr>
              <w:pStyle w:val="ConsPlusNormal"/>
              <w:jc w:val="center"/>
            </w:pPr>
            <w:r>
              <w:t>120</w:t>
            </w:r>
          </w:p>
        </w:tc>
      </w:tr>
    </w:tbl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bookmarkStart w:id="8" w:name="P119"/>
      <w:bookmarkEnd w:id="8"/>
      <w:r>
        <w:t xml:space="preserve">2.2. В </w:t>
      </w:r>
      <w:hyperlink w:anchor="P11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педагогическая практика.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9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2.4. Организация: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9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1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lastRenderedPageBreak/>
        <w:t>подготовка к процедуре защиты и защита выпускной квалификационной работы.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45 процентов общего объема программы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2.9. Реализация части (частей) программы магистратуры, направленной (направленных) на подготовку выпускников к творческой профессиональной деятельности, и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2.10. При реализации программы магистратуры аудиторная контактная работа предусматривает групповую работу обучающихся с педагогическим работником (в группах численностью от двух человек) и индивидуальную работу обучающихся с педагогическим работником.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Объем контактной работы обучающихся с педагогическими работниками при проведении учебных занятий по программе магистратуры должен составлять в очной форме обучения - не менее 30 процентов, в очно-заочной форме обучения - от 10 процентов до 20 процентов, в заочной форме обучения - от 5 процентов до 10 процентов общего объема времени, отводимого на реализацию дисциплин (модулей).</w:t>
      </w:r>
      <w:proofErr w:type="gramEnd"/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8961C1" w:rsidRDefault="008961C1">
      <w:pPr>
        <w:pStyle w:val="ConsPlusTitle"/>
        <w:jc w:val="center"/>
      </w:pPr>
      <w:r>
        <w:t>программы магистратуры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8961C1" w:rsidRDefault="00896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8961C1">
        <w:tc>
          <w:tcPr>
            <w:tcW w:w="2778" w:type="dxa"/>
          </w:tcPr>
          <w:p w:rsidR="008961C1" w:rsidRDefault="008961C1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8961C1" w:rsidRDefault="008961C1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8961C1" w:rsidRDefault="00896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8961C1">
        <w:tc>
          <w:tcPr>
            <w:tcW w:w="2778" w:type="dxa"/>
          </w:tcPr>
          <w:p w:rsidR="008961C1" w:rsidRDefault="008961C1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8961C1" w:rsidRDefault="008961C1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История и теория искусств и дизайна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знания в области истории и теории искусств, истории и теории дизайна в профессиональной деятельности; рассматривать произведения искусства и дизайна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Научно-исследовательская деятельность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работать с научной литературой; собирать, анализировать и обобщать результаты научных исследований; оценивать полученную информацию; выполнять отдельные виды работ при проведении научных исследований с применением современных научных методов; самостоятельно обучаться; приобретать и использовать в практической деятельности новые знания и умения; участвовать в научно-практических конференциях; делать доклады и сообщения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Проектная деятельность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ОПК-3. Способен разрабатывать концептуальную проектную идею; синтезировать набор возможных решений и научно обосновать свои предложения при проектировании </w:t>
            </w:r>
            <w:proofErr w:type="gramStart"/>
            <w:r>
              <w:t>дизайн-объектов</w:t>
            </w:r>
            <w:proofErr w:type="gramEnd"/>
            <w:r>
              <w:t>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lastRenderedPageBreak/>
              <w:t>Организаторская деятельность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организовывать, проводить и участвовать в художественных выставках, конкурсах, фестивалях; разрабатывать и реализовывать инновационные художественно-творческие мероприятия, презентации, инсталляции, проявлять творческую инициативу</w:t>
            </w:r>
          </w:p>
        </w:tc>
      </w:tr>
      <w:tr w:rsidR="008961C1">
        <w:tc>
          <w:tcPr>
            <w:tcW w:w="2778" w:type="dxa"/>
            <w:vAlign w:val="center"/>
          </w:tcPr>
          <w:p w:rsidR="008961C1" w:rsidRDefault="008961C1">
            <w:pPr>
              <w:pStyle w:val="ConsPlusNormal"/>
            </w:pPr>
            <w:r>
              <w:t>Педагогическая деятельность</w:t>
            </w:r>
          </w:p>
        </w:tc>
        <w:tc>
          <w:tcPr>
            <w:tcW w:w="6293" w:type="dxa"/>
            <w:vAlign w:val="center"/>
          </w:tcPr>
          <w:p w:rsidR="008961C1" w:rsidRDefault="008961C1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педагогическую деятельность по программам профессионального образования и дополнительного профессионального образования</w:t>
            </w:r>
          </w:p>
        </w:tc>
      </w:tr>
    </w:tbl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2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8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</w:t>
      </w:r>
      <w:r>
        <w:lastRenderedPageBreak/>
        <w:t xml:space="preserve">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9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проведение учебных занятий, процедур оценки результатов обучения, реализация которых </w:t>
      </w:r>
      <w:r>
        <w:lastRenderedPageBreak/>
        <w:t>предусмотрена с применением электронного обучения, дистанционных образовательных технологий;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8961C1" w:rsidRDefault="008961C1">
      <w:pPr>
        <w:pStyle w:val="ConsPlusNormal"/>
        <w:spacing w:before="220"/>
        <w:ind w:firstLine="540"/>
        <w:jc w:val="both"/>
      </w:pPr>
      <w:proofErr w:type="gramStart"/>
      <w: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</w:t>
      </w:r>
      <w:proofErr w:type="gramEnd"/>
      <w:r>
        <w:t xml:space="preserve">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</w:t>
      </w:r>
      <w:r>
        <w:lastRenderedPageBreak/>
        <w:t xml:space="preserve">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8961C1" w:rsidRDefault="008961C1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right"/>
        <w:outlineLvl w:val="1"/>
      </w:pPr>
      <w:r>
        <w:t>Приложение</w:t>
      </w:r>
    </w:p>
    <w:p w:rsidR="008961C1" w:rsidRDefault="008961C1">
      <w:pPr>
        <w:pStyle w:val="ConsPlusNormal"/>
        <w:jc w:val="right"/>
      </w:pPr>
      <w:r>
        <w:t>к федеральному государственному</w:t>
      </w:r>
    </w:p>
    <w:p w:rsidR="008961C1" w:rsidRDefault="008961C1">
      <w:pPr>
        <w:pStyle w:val="ConsPlusNormal"/>
        <w:jc w:val="right"/>
      </w:pPr>
      <w:r>
        <w:lastRenderedPageBreak/>
        <w:t xml:space="preserve">образовательному стандарту </w:t>
      </w:r>
      <w:proofErr w:type="gramStart"/>
      <w:r>
        <w:t>высшего</w:t>
      </w:r>
      <w:proofErr w:type="gramEnd"/>
    </w:p>
    <w:p w:rsidR="008961C1" w:rsidRDefault="008961C1">
      <w:pPr>
        <w:pStyle w:val="ConsPlusNormal"/>
        <w:jc w:val="right"/>
      </w:pPr>
      <w:r>
        <w:t>образования - магистратура</w:t>
      </w:r>
    </w:p>
    <w:p w:rsidR="008961C1" w:rsidRDefault="008961C1">
      <w:pPr>
        <w:pStyle w:val="ConsPlusNormal"/>
        <w:jc w:val="right"/>
      </w:pPr>
      <w:r>
        <w:t>по направлению подготовки 54.04.01</w:t>
      </w:r>
    </w:p>
    <w:p w:rsidR="008961C1" w:rsidRDefault="008961C1">
      <w:pPr>
        <w:pStyle w:val="ConsPlusNormal"/>
        <w:jc w:val="right"/>
      </w:pPr>
      <w:r>
        <w:t xml:space="preserve">Дизайн,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8961C1" w:rsidRDefault="008961C1">
      <w:pPr>
        <w:pStyle w:val="ConsPlusNormal"/>
        <w:jc w:val="right"/>
      </w:pPr>
      <w:r>
        <w:t>Министерства науки и высшего</w:t>
      </w:r>
    </w:p>
    <w:p w:rsidR="008961C1" w:rsidRDefault="008961C1">
      <w:pPr>
        <w:pStyle w:val="ConsPlusNormal"/>
        <w:jc w:val="right"/>
      </w:pPr>
      <w:r>
        <w:t>образования Российской Федерации</w:t>
      </w:r>
    </w:p>
    <w:p w:rsidR="008961C1" w:rsidRDefault="008961C1">
      <w:pPr>
        <w:pStyle w:val="ConsPlusNormal"/>
        <w:jc w:val="right"/>
      </w:pPr>
      <w:r>
        <w:t>от 13 августа 2020 г. N 1004</w:t>
      </w: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Title"/>
        <w:jc w:val="center"/>
      </w:pPr>
      <w:bookmarkStart w:id="9" w:name="P262"/>
      <w:bookmarkEnd w:id="9"/>
      <w:r>
        <w:t>ПЕРЕЧЕНЬ</w:t>
      </w:r>
    </w:p>
    <w:p w:rsidR="008961C1" w:rsidRDefault="008961C1">
      <w:pPr>
        <w:pStyle w:val="ConsPlusTitle"/>
        <w:jc w:val="center"/>
      </w:pPr>
      <w:r>
        <w:t>ПРОФЕССИОНАЛЬНЫХ СТАНДАРТОВ, СООТВЕТСТВУЮЩИХ</w:t>
      </w:r>
    </w:p>
    <w:p w:rsidR="008961C1" w:rsidRDefault="008961C1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8961C1" w:rsidRDefault="008961C1">
      <w:pPr>
        <w:pStyle w:val="ConsPlusTitle"/>
        <w:jc w:val="center"/>
      </w:pPr>
      <w:r>
        <w:t>ПРОГРАММУ БАКАЛАВРИАТА ПО НАПРАВЛЕНИЮ ПОДГОТОВКИ</w:t>
      </w:r>
    </w:p>
    <w:p w:rsidR="008961C1" w:rsidRDefault="008961C1">
      <w:pPr>
        <w:pStyle w:val="ConsPlusTitle"/>
        <w:jc w:val="center"/>
      </w:pPr>
      <w:r>
        <w:t>54.04.01 ДИЗАЙН</w:t>
      </w:r>
    </w:p>
    <w:p w:rsidR="008961C1" w:rsidRDefault="00896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8961C1">
        <w:tc>
          <w:tcPr>
            <w:tcW w:w="567" w:type="dxa"/>
          </w:tcPr>
          <w:p w:rsidR="008961C1" w:rsidRDefault="008961C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8961C1" w:rsidRDefault="008961C1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8961C1" w:rsidRDefault="008961C1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8961C1">
        <w:tc>
          <w:tcPr>
            <w:tcW w:w="9071" w:type="dxa"/>
            <w:gridSpan w:val="3"/>
            <w:vAlign w:val="center"/>
          </w:tcPr>
          <w:p w:rsidR="008961C1" w:rsidRDefault="008961C1">
            <w:pPr>
              <w:pStyle w:val="ConsPlusNormal"/>
              <w:jc w:val="center"/>
              <w:outlineLvl w:val="2"/>
            </w:pPr>
            <w:r>
              <w:t>11 Средства массовой информации, издательство и полиграфия</w:t>
            </w:r>
          </w:p>
        </w:tc>
      </w:tr>
      <w:tr w:rsidR="008961C1">
        <w:tc>
          <w:tcPr>
            <w:tcW w:w="567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11.013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"Графический дизайнер", утвержденный приказом Министерства труда и социальной защиты РФ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  <w:tr w:rsidR="008961C1">
        <w:tc>
          <w:tcPr>
            <w:tcW w:w="9071" w:type="dxa"/>
            <w:gridSpan w:val="3"/>
            <w:vAlign w:val="center"/>
          </w:tcPr>
          <w:p w:rsidR="008961C1" w:rsidRDefault="008961C1">
            <w:pPr>
              <w:pStyle w:val="ConsPlusNormal"/>
              <w:jc w:val="center"/>
              <w:outlineLvl w:val="2"/>
            </w:pPr>
            <w:r>
              <w:t>21 Легкая и текстильная промышленность</w:t>
            </w:r>
          </w:p>
        </w:tc>
      </w:tr>
      <w:tr w:rsidR="008961C1">
        <w:tc>
          <w:tcPr>
            <w:tcW w:w="567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21.001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детской игровой среды и продукции", утвержденный приказом Министерства труда и социальной защиты Российской Федерации от 18 ноября 2014 г. N 892н (зарегистрирован Министерством юстиции Российской Федерации 9 декабря 2014 г., регистрационный N 35113),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8961C1">
        <w:tc>
          <w:tcPr>
            <w:tcW w:w="567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21.002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детской одежды и обуви", утвержденный приказом Министерства труда и социальной защиты Российской Федерации от 4 декабря 2014 г. N 974н (зарегистрирован Министерством юстиции Российской Федерации 17 декабря 2014 г., регистрационный N 35251),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8961C1">
        <w:tc>
          <w:tcPr>
            <w:tcW w:w="9071" w:type="dxa"/>
            <w:gridSpan w:val="3"/>
            <w:vAlign w:val="center"/>
          </w:tcPr>
          <w:p w:rsidR="008961C1" w:rsidRDefault="008961C1">
            <w:pPr>
              <w:pStyle w:val="ConsPlusNormal"/>
              <w:jc w:val="center"/>
              <w:outlineLvl w:val="2"/>
            </w:pPr>
            <w:r>
              <w:t>31 Автомобилестроение</w:t>
            </w:r>
          </w:p>
        </w:tc>
      </w:tr>
      <w:tr w:rsidR="008961C1">
        <w:tc>
          <w:tcPr>
            <w:tcW w:w="567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31.006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автомобилестроения", утвержденный приказом Министерства труда и социальной защиты Российской Федерации от 28 октября 2014 г. N 813н (зарегистрирован Министерством юстиции </w:t>
            </w:r>
            <w:r>
              <w:lastRenderedPageBreak/>
              <w:t>Российской Федерации 26 ноября 2014 г., регистрационный N 34948)</w:t>
            </w:r>
          </w:p>
        </w:tc>
      </w:tr>
      <w:tr w:rsidR="008961C1">
        <w:tc>
          <w:tcPr>
            <w:tcW w:w="9071" w:type="dxa"/>
            <w:gridSpan w:val="3"/>
            <w:vAlign w:val="center"/>
          </w:tcPr>
          <w:p w:rsidR="008961C1" w:rsidRDefault="008961C1">
            <w:pPr>
              <w:pStyle w:val="ConsPlusNormal"/>
              <w:jc w:val="center"/>
              <w:outlineLvl w:val="2"/>
            </w:pPr>
            <w:r>
              <w:lastRenderedPageBreak/>
              <w:t>40 Сквозные виды профессиональной деятельности в промышленности</w:t>
            </w:r>
          </w:p>
        </w:tc>
      </w:tr>
      <w:tr w:rsidR="008961C1">
        <w:tc>
          <w:tcPr>
            <w:tcW w:w="567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40.059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"Промышленный дизайнер (эргономист)", утвержденный приказом Министерства труда и социальной защиты Российской Федерации от 18 ноября 2014 г. N 894н (зарегистрирован Министерством юстиции Российской Федерации 16 декабря 2014 г., регистрационный N 35189),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8961C1">
        <w:tc>
          <w:tcPr>
            <w:tcW w:w="567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8961C1" w:rsidRDefault="008961C1">
            <w:pPr>
              <w:pStyle w:val="ConsPlusNormal"/>
              <w:jc w:val="center"/>
            </w:pPr>
            <w:r>
              <w:t>40.137</w:t>
            </w:r>
          </w:p>
        </w:tc>
        <w:tc>
          <w:tcPr>
            <w:tcW w:w="6350" w:type="dxa"/>
          </w:tcPr>
          <w:p w:rsidR="008961C1" w:rsidRDefault="008961C1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транспортных средств", утвержденный приказом Министерства труда и социальной защиты Российской Федерации от 29 декабря 2015 г. N 1174н (зарегистрирован Министерством юстиции Российской Федерации 28 января 2016 г., регистрационный N 40850)</w:t>
            </w:r>
          </w:p>
        </w:tc>
      </w:tr>
    </w:tbl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jc w:val="both"/>
      </w:pPr>
    </w:p>
    <w:p w:rsidR="008961C1" w:rsidRDefault="008961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5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8961C1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961C1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07F74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1C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61C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61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4340FAA4BACAFF4CDE79660A38F864E0524A90278513A9A79C5964A8BAB649E3FA796D6F33CE1FAB771132E33B7FFFB65D18C9Dn3UFD" TargetMode="External"/><Relationship Id="rId13" Type="http://schemas.openxmlformats.org/officeDocument/2006/relationships/hyperlink" Target="consultantplus://offline/ref=4484340FAA4BACAFF4CDE79660A38F864F0027AE037C513A9A79C5964A8BAB649E3FA795D7F437B3A3F8704F6B66A4FEF265D385813D45E2n7UDD" TargetMode="External"/><Relationship Id="rId18" Type="http://schemas.openxmlformats.org/officeDocument/2006/relationships/hyperlink" Target="consultantplus://offline/ref=4484340FAA4BACAFF4CDE79660A38F864F0027AE037C513A9A79C5964A8BAB649E3FA795D7F437B5ADF8704F6B66A4FEF265D385813D45E2n7UDD" TargetMode="External"/><Relationship Id="rId26" Type="http://schemas.openxmlformats.org/officeDocument/2006/relationships/hyperlink" Target="consultantplus://offline/ref=4484340FAA4BACAFF4CDE79660A38F864C0325AA097B513A9A79C5964A8BAB649E3FA795D7F437B5A2F8704F6B66A4FEF265D385813D45E2n7U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84340FAA4BACAFF4CDE79660A38F864E0422AB067F513A9A79C5964A8BAB648C3FFF99D6F429B5A2ED261E2Dn3U3D" TargetMode="External"/><Relationship Id="rId7" Type="http://schemas.openxmlformats.org/officeDocument/2006/relationships/hyperlink" Target="consultantplus://offline/ref=4484340FAA4BACAFF4CDE79660A38F864C0824AB027F513A9A79C5964A8BAB649E3FA795D7F437B4AFF8704F6B66A4FEF265D385813D45E2n7UDD" TargetMode="External"/><Relationship Id="rId12" Type="http://schemas.openxmlformats.org/officeDocument/2006/relationships/hyperlink" Target="consultantplus://offline/ref=4484340FAA4BACAFF4CDE79660A38F864F0027AE037C513A9A79C5964A8BAB649E3FA795D7F437B0ADF8704F6B66A4FEF265D385813D45E2n7UDD" TargetMode="External"/><Relationship Id="rId17" Type="http://schemas.openxmlformats.org/officeDocument/2006/relationships/hyperlink" Target="consultantplus://offline/ref=4484340FAA4BACAFF4CDE79660A38F864F0027AE037C513A9A79C5964A8BAB649E3FA795D7F436B4ADF8704F6B66A4FEF265D385813D45E2n7UDD" TargetMode="External"/><Relationship Id="rId25" Type="http://schemas.openxmlformats.org/officeDocument/2006/relationships/hyperlink" Target="consultantplus://offline/ref=4484340FAA4BACAFF4CDE79660A38F864F0022AD087B513A9A79C5964A8BAB649E3FA795D7F437B5A2F8704F6B66A4FEF265D385813D45E2n7U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84340FAA4BACAFF4CDE79660A38F864F0027AE037C513A9A79C5964A8BAB649E3FA795D7F436B4ABF8704F6B66A4FEF265D385813D45E2n7UDD" TargetMode="External"/><Relationship Id="rId20" Type="http://schemas.openxmlformats.org/officeDocument/2006/relationships/hyperlink" Target="consultantplus://offline/ref=4484340FAA4BACAFF4CDE79660A38F864E052AAD027F513A9A79C5964A8BAB648C3FFF99D6F429B5A2ED261E2Dn3U3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84340FAA4BACAFF4CDE79660A38F864E0321AF017A513A9A79C5964A8BAB649E3FA795D7F437B2A9F8704F6B66A4FEF265D385813D45E2n7UDD" TargetMode="External"/><Relationship Id="rId11" Type="http://schemas.openxmlformats.org/officeDocument/2006/relationships/hyperlink" Target="consultantplus://offline/ref=4484340FAA4BACAFF4CDE79660A38F864F0027AE037C513A9A79C5964A8BAB649E3FA795D7F437B0ABF8704F6B66A4FEF265D385813D45E2n7UDD" TargetMode="External"/><Relationship Id="rId24" Type="http://schemas.openxmlformats.org/officeDocument/2006/relationships/hyperlink" Target="consultantplus://offline/ref=4484340FAA4BACAFF4CDE79660A38F864F0022AF0378513A9A79C5964A8BAB649E3FA795D7F437B5A2F8704F6B66A4FEF265D385813D45E2n7UDD" TargetMode="External"/><Relationship Id="rId5" Type="http://schemas.openxmlformats.org/officeDocument/2006/relationships/hyperlink" Target="consultantplus://offline/ref=4484340FAA4BACAFF4CDE79660A38F864E0423AC077F513A9A79C5964A8BAB649E3FA795D7F437B0A2F8704F6B66A4FEF265D385813D45E2n7UDD" TargetMode="External"/><Relationship Id="rId15" Type="http://schemas.openxmlformats.org/officeDocument/2006/relationships/hyperlink" Target="consultantplus://offline/ref=4484340FAA4BACAFF4CDE79660A38F864F0027AE037C513A9A79C5964A8BAB649E3FA795D7F437BCABF8704F6B66A4FEF265D385813D45E2n7UDD" TargetMode="External"/><Relationship Id="rId23" Type="http://schemas.openxmlformats.org/officeDocument/2006/relationships/hyperlink" Target="consultantplus://offline/ref=4484340FAA4BACAFF4CDE79660A38F864F0021A8037F513A9A79C5964A8BAB649E3FA795D7F437B5A2F8704F6B66A4FEF265D385813D45E2n7UDD" TargetMode="External"/><Relationship Id="rId28" Type="http://schemas.openxmlformats.org/officeDocument/2006/relationships/hyperlink" Target="consultantplus://offline/ref=4484340FAA4BACAFF4CDE79660A38F864C0820A10874513A9A79C5964A8BAB649E3FA795D7F437B5A2F8704F6B66A4FEF265D385813D45E2n7UDD" TargetMode="External"/><Relationship Id="rId10" Type="http://schemas.openxmlformats.org/officeDocument/2006/relationships/hyperlink" Target="consultantplus://offline/ref=4484340FAA4BACAFF4CDE79660A38F864F0027AE037C513A9A79C5964A8BAB649E3FA795D7F437B1ACF8704F6B66A4FEF265D385813D45E2n7UDD" TargetMode="External"/><Relationship Id="rId19" Type="http://schemas.openxmlformats.org/officeDocument/2006/relationships/hyperlink" Target="consultantplus://offline/ref=4484340FAA4BACAFF4CDE79660A38F864C0525A0067C513A9A79C5964A8BAB648C3FFF99D6F429B5A2ED261E2Dn3U3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484340FAA4BACAFF4CDE79660A38F864E0524A90278513A9A79C5964A8BAB649E3FA795D7F435B1A2F8704F6B66A4FEF265D385813D45E2n7UDD" TargetMode="External"/><Relationship Id="rId14" Type="http://schemas.openxmlformats.org/officeDocument/2006/relationships/hyperlink" Target="consultantplus://offline/ref=4484340FAA4BACAFF4CDE79660A38F864F0027AE037C513A9A79C5964A8BAB649E3FA795D7F437B2ABF8704F6B66A4FEF265D385813D45E2n7UDD" TargetMode="External"/><Relationship Id="rId22" Type="http://schemas.openxmlformats.org/officeDocument/2006/relationships/hyperlink" Target="consultantplus://offline/ref=4484340FAA4BACAFF4CDE79660A38F864E0424A10978513A9A79C5964A8BAB649E3FA795D7F43EB1ACF8704F6B66A4FEF265D385813D45E2n7UDD" TargetMode="External"/><Relationship Id="rId27" Type="http://schemas.openxmlformats.org/officeDocument/2006/relationships/hyperlink" Target="consultantplus://offline/ref=4484340FAA4BACAFF4CDE79660A38F864F0022AF037E513A9A79C5964A8BAB649E3FA795D7F437B4ABF8704F6B66A4FEF265D385813D45E2n7UD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5815</Words>
  <Characters>33148</Characters>
  <Application>Microsoft Office Word</Application>
  <DocSecurity>0</DocSecurity>
  <Lines>276</Lines>
  <Paragraphs>77</Paragraphs>
  <ScaleCrop>false</ScaleCrop>
  <Company/>
  <LinksUpToDate>false</LinksUpToDate>
  <CharactersWithSpaces>38886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2020-09-10T03:20:00Z</dcterms:created>
  <dcterms:modified xsi:type="dcterms:W3CDTF">2020-09-10T03:21:00Z</dcterms:modified>
</cp:coreProperties>
</file>