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C0" w:rsidRDefault="00BD57C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D57C0" w:rsidRDefault="00BD57C0">
      <w:pPr>
        <w:pStyle w:val="ConsPlusNormal"/>
        <w:jc w:val="both"/>
        <w:outlineLvl w:val="0"/>
      </w:pPr>
    </w:p>
    <w:p w:rsidR="00BD57C0" w:rsidRDefault="00BD57C0">
      <w:pPr>
        <w:pStyle w:val="ConsPlusNormal"/>
        <w:outlineLvl w:val="0"/>
      </w:pPr>
      <w:r>
        <w:t>Зарегистрировано в Минюсте России 22 марта 2018 г. N 50472</w:t>
      </w:r>
    </w:p>
    <w:p w:rsidR="00BD57C0" w:rsidRDefault="00BD57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D57C0" w:rsidRDefault="00BD57C0">
      <w:pPr>
        <w:pStyle w:val="ConsPlusTitle"/>
        <w:jc w:val="both"/>
      </w:pPr>
    </w:p>
    <w:p w:rsidR="00BD57C0" w:rsidRDefault="00BD57C0">
      <w:pPr>
        <w:pStyle w:val="ConsPlusTitle"/>
        <w:jc w:val="center"/>
      </w:pPr>
      <w:r>
        <w:t>ПРИКАЗ</w:t>
      </w:r>
    </w:p>
    <w:p w:rsidR="00BD57C0" w:rsidRDefault="00BD57C0">
      <w:pPr>
        <w:pStyle w:val="ConsPlusTitle"/>
        <w:jc w:val="center"/>
      </w:pPr>
      <w:r>
        <w:t>от 28 февраля 2018 г. N 146</w:t>
      </w:r>
    </w:p>
    <w:p w:rsidR="00BD57C0" w:rsidRDefault="00BD57C0">
      <w:pPr>
        <w:pStyle w:val="ConsPlusTitle"/>
        <w:jc w:val="both"/>
      </w:pPr>
    </w:p>
    <w:p w:rsidR="00BD57C0" w:rsidRDefault="00BD57C0">
      <w:pPr>
        <w:pStyle w:val="ConsPlusTitle"/>
        <w:jc w:val="center"/>
      </w:pPr>
      <w:r>
        <w:t>ОБ УТВЕРЖДЕНИИ</w:t>
      </w:r>
    </w:p>
    <w:p w:rsidR="00BD57C0" w:rsidRDefault="00BD57C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D57C0" w:rsidRDefault="00BD57C0">
      <w:pPr>
        <w:pStyle w:val="ConsPlusTitle"/>
        <w:jc w:val="center"/>
      </w:pPr>
      <w:r>
        <w:t>ВЫСШЕГО ОБРАЗОВАНИЯ - МАГИСТРАТУРА ПО НАПРАВЛЕНИЮ</w:t>
      </w:r>
    </w:p>
    <w:p w:rsidR="00BD57C0" w:rsidRDefault="00BD57C0">
      <w:pPr>
        <w:pStyle w:val="ConsPlusTitle"/>
        <w:jc w:val="center"/>
      </w:pPr>
      <w:r>
        <w:t>ПОДГОТОВКИ 13.04.01 ТЕПЛОЭНЕРГЕТИКА И ТЕПЛОТЕХНИКА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368; 2018, N 3, ст. 562), приказываю: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13.04.01 Теплоэнергетика и теплотехника (далее - стандарт).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4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13.04.01 Теплоэнергетика и теплотехника (уровень магистратуры), утвержденным приказом Министерства образования и науки Российской Федерации от 21 ноября 2014 г. N 1499 (зарегистрирован Министерством юстиции Российской Федерации 17 декабря 2014 г., регистрационный N 35221), прекращается 31 декабря 2018 года.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right"/>
      </w:pPr>
      <w:r>
        <w:t>Министр</w:t>
      </w:r>
    </w:p>
    <w:p w:rsidR="00BD57C0" w:rsidRDefault="00BD57C0">
      <w:pPr>
        <w:pStyle w:val="ConsPlusNormal"/>
        <w:jc w:val="right"/>
      </w:pPr>
      <w:r>
        <w:t>О.Ю.ВАСИЛЬЕВА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right"/>
        <w:outlineLvl w:val="0"/>
      </w:pPr>
      <w:r>
        <w:t>Приложение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right"/>
      </w:pPr>
      <w:r>
        <w:t>Утвержден</w:t>
      </w:r>
    </w:p>
    <w:p w:rsidR="00BD57C0" w:rsidRDefault="00BD57C0">
      <w:pPr>
        <w:pStyle w:val="ConsPlusNormal"/>
        <w:jc w:val="right"/>
      </w:pPr>
      <w:r>
        <w:t>приказом Министерства образования</w:t>
      </w:r>
    </w:p>
    <w:p w:rsidR="00BD57C0" w:rsidRDefault="00BD57C0">
      <w:pPr>
        <w:pStyle w:val="ConsPlusNormal"/>
        <w:jc w:val="right"/>
      </w:pPr>
      <w:r>
        <w:lastRenderedPageBreak/>
        <w:t>и науки Российской Федерации</w:t>
      </w:r>
    </w:p>
    <w:p w:rsidR="00BD57C0" w:rsidRDefault="00BD57C0">
      <w:pPr>
        <w:pStyle w:val="ConsPlusNormal"/>
        <w:jc w:val="right"/>
      </w:pPr>
      <w:r>
        <w:t>от 28 февраля 2018 г. N 146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BD57C0" w:rsidRDefault="00BD57C0">
      <w:pPr>
        <w:pStyle w:val="ConsPlusTitle"/>
        <w:jc w:val="center"/>
      </w:pPr>
      <w:r>
        <w:t>ВЫСШЕГО ОБРАЗОВАНИЯ - МАГИСТРАТУРА ПО НАПРАВЛЕНИЮ</w:t>
      </w:r>
    </w:p>
    <w:p w:rsidR="00BD57C0" w:rsidRDefault="00BD57C0">
      <w:pPr>
        <w:pStyle w:val="ConsPlusTitle"/>
        <w:jc w:val="center"/>
      </w:pPr>
      <w:r>
        <w:t>ПОДГОТОВКИ 13.04.01 ТЕПЛОЭНЕРГЕТИКА И ТЕПЛОТЕХНИКА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  <w:outlineLvl w:val="1"/>
      </w:pPr>
      <w:r>
        <w:t>I. Общие положения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13.04.01 Теплоэнергетика и теплотехника (далее соответственно - программа магистратуры, направление подготовки).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 &lt;1&gt;.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2018, N 1, ст. 57) (далее - Федеральный закон N 273-ФЗ).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 xml:space="preserve">1.6. Реализация программы магистратуры осуществляется Организацией как </w:t>
      </w:r>
      <w:r>
        <w:lastRenderedPageBreak/>
        <w:t>самостоятельно, так и посредством сетевой формы.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N 273-ФЗ.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BD57C0" w:rsidRDefault="00BD57C0">
      <w:pPr>
        <w:pStyle w:val="ConsPlusNormal"/>
        <w:spacing w:before="220"/>
        <w:ind w:firstLine="540"/>
        <w:jc w:val="both"/>
      </w:pPr>
      <w:bookmarkStart w:id="1" w:name="P60"/>
      <w:bookmarkEnd w:id="1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60" w:history="1">
        <w:r>
          <w:rPr>
            <w:color w:val="0000FF"/>
          </w:rPr>
          <w:t>пунктами 1.9</w:t>
        </w:r>
      </w:hyperlink>
      <w:r>
        <w:t xml:space="preserve"> и 1.10 ФГОС ВО: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1.11. Области профессиональной деятельности &lt;3&gt;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сферах: профессионального обучения, профессионального образования, дополнительного образования; научных исследований);</w:t>
      </w:r>
    </w:p>
    <w:p w:rsidR="00BD57C0" w:rsidRDefault="00BD57C0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проектирования и эксплуатации объектов теплоэнергетики и теплотехники);</w:t>
      </w:r>
    </w:p>
    <w:p w:rsidR="00BD57C0" w:rsidRDefault="00BD57C0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(в сфере регулирования потоков и формирования балансов углеводородного сырья);</w:t>
      </w:r>
    </w:p>
    <w:p w:rsidR="00BD57C0" w:rsidRDefault="00BD57C0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20</w:t>
        </w:r>
      </w:hyperlink>
      <w:r>
        <w:t xml:space="preserve"> Электроэнергетика (в сфере теплоэнергетики и теплотехники);</w:t>
      </w:r>
    </w:p>
    <w:p w:rsidR="00BD57C0" w:rsidRDefault="00BD57C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24</w:t>
        </w:r>
      </w:hyperlink>
      <w:r>
        <w:t xml:space="preserve"> Атомная промышленность (в сфере эксплуатации тепломеханического и теплообменного основного и вспомогательного оборудования);</w:t>
      </w:r>
    </w:p>
    <w:p w:rsidR="00BD57C0" w:rsidRDefault="00BD57C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28</w:t>
        </w:r>
      </w:hyperlink>
      <w:r>
        <w:t xml:space="preserve"> Производство машин и оборудования (в сфере проектирования объектов теплоэнергетики и теплотехники);</w:t>
      </w:r>
    </w:p>
    <w:p w:rsidR="00BD57C0" w:rsidRDefault="00BD57C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обеспечения безопасной эксплуатации оборудования, работающего под избыточным давлением).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D57C0" w:rsidRDefault="00BD57C0">
      <w:pPr>
        <w:pStyle w:val="ConsPlusNormal"/>
        <w:spacing w:before="220"/>
        <w:ind w:firstLine="540"/>
        <w:jc w:val="both"/>
      </w:pPr>
      <w:bookmarkStart w:id="2" w:name="P77"/>
      <w:bookmarkEnd w:id="2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BD57C0" w:rsidRDefault="00BD57C0">
      <w:pPr>
        <w:pStyle w:val="ConsPlusNormal"/>
        <w:spacing w:before="220"/>
        <w:ind w:firstLine="540"/>
        <w:jc w:val="both"/>
      </w:pPr>
      <w:bookmarkStart w:id="3" w:name="P83"/>
      <w:bookmarkEnd w:id="3"/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lastRenderedPageBreak/>
        <w:t>2.1. Структура программы магистратуры включает следующие блоки:</w:t>
      </w:r>
    </w:p>
    <w:p w:rsidR="00BD57C0" w:rsidRDefault="00BD57C0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BD57C0" w:rsidRDefault="00BD57C0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BD57C0" w:rsidRDefault="00BD57C0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right"/>
      </w:pPr>
      <w:r>
        <w:t>Таблица</w:t>
      </w:r>
    </w:p>
    <w:p w:rsidR="00BD57C0" w:rsidRDefault="00BD5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271"/>
        <w:gridCol w:w="3609"/>
      </w:tblGrid>
      <w:tr w:rsidR="00BD57C0">
        <w:tc>
          <w:tcPr>
            <w:tcW w:w="5462" w:type="dxa"/>
            <w:gridSpan w:val="2"/>
          </w:tcPr>
          <w:p w:rsidR="00BD57C0" w:rsidRDefault="00BD57C0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09" w:type="dxa"/>
          </w:tcPr>
          <w:p w:rsidR="00BD57C0" w:rsidRDefault="00BD57C0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BD57C0">
        <w:tc>
          <w:tcPr>
            <w:tcW w:w="1191" w:type="dxa"/>
          </w:tcPr>
          <w:p w:rsidR="00BD57C0" w:rsidRDefault="00BD57C0">
            <w:pPr>
              <w:pStyle w:val="ConsPlusNormal"/>
              <w:jc w:val="center"/>
            </w:pPr>
            <w:bookmarkStart w:id="4" w:name="P102"/>
            <w:bookmarkEnd w:id="4"/>
            <w:r>
              <w:t>Блок 1</w:t>
            </w:r>
          </w:p>
        </w:tc>
        <w:tc>
          <w:tcPr>
            <w:tcW w:w="4271" w:type="dxa"/>
          </w:tcPr>
          <w:p w:rsidR="00BD57C0" w:rsidRDefault="00BD57C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</w:tcPr>
          <w:p w:rsidR="00BD57C0" w:rsidRDefault="00BD57C0">
            <w:pPr>
              <w:pStyle w:val="ConsPlusNormal"/>
              <w:jc w:val="center"/>
            </w:pPr>
            <w:r>
              <w:t>не менее 45</w:t>
            </w:r>
          </w:p>
        </w:tc>
      </w:tr>
      <w:tr w:rsidR="00BD57C0">
        <w:tc>
          <w:tcPr>
            <w:tcW w:w="1191" w:type="dxa"/>
          </w:tcPr>
          <w:p w:rsidR="00BD57C0" w:rsidRDefault="00BD57C0">
            <w:pPr>
              <w:pStyle w:val="ConsPlusNormal"/>
              <w:jc w:val="center"/>
            </w:pPr>
            <w:bookmarkStart w:id="5" w:name="P105"/>
            <w:bookmarkEnd w:id="5"/>
            <w:r>
              <w:t>Блок 2</w:t>
            </w:r>
          </w:p>
        </w:tc>
        <w:tc>
          <w:tcPr>
            <w:tcW w:w="4271" w:type="dxa"/>
          </w:tcPr>
          <w:p w:rsidR="00BD57C0" w:rsidRDefault="00BD57C0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</w:tcPr>
          <w:p w:rsidR="00BD57C0" w:rsidRDefault="00BD57C0">
            <w:pPr>
              <w:pStyle w:val="ConsPlusNormal"/>
              <w:jc w:val="center"/>
            </w:pPr>
            <w:r>
              <w:t>не менее 45</w:t>
            </w:r>
          </w:p>
        </w:tc>
      </w:tr>
      <w:tr w:rsidR="00BD57C0">
        <w:tc>
          <w:tcPr>
            <w:tcW w:w="1191" w:type="dxa"/>
          </w:tcPr>
          <w:p w:rsidR="00BD57C0" w:rsidRDefault="00BD57C0">
            <w:pPr>
              <w:pStyle w:val="ConsPlusNormal"/>
              <w:jc w:val="center"/>
            </w:pPr>
            <w:bookmarkStart w:id="6" w:name="P108"/>
            <w:bookmarkEnd w:id="6"/>
            <w:r>
              <w:t>Блок 3</w:t>
            </w:r>
          </w:p>
        </w:tc>
        <w:tc>
          <w:tcPr>
            <w:tcW w:w="4271" w:type="dxa"/>
          </w:tcPr>
          <w:p w:rsidR="00BD57C0" w:rsidRDefault="00BD57C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</w:tcPr>
          <w:p w:rsidR="00BD57C0" w:rsidRDefault="00BD57C0">
            <w:pPr>
              <w:pStyle w:val="ConsPlusNormal"/>
              <w:jc w:val="center"/>
            </w:pPr>
            <w:r>
              <w:t>6 - 9</w:t>
            </w:r>
          </w:p>
        </w:tc>
      </w:tr>
      <w:tr w:rsidR="00BD57C0">
        <w:tc>
          <w:tcPr>
            <w:tcW w:w="5462" w:type="dxa"/>
            <w:gridSpan w:val="2"/>
          </w:tcPr>
          <w:p w:rsidR="00BD57C0" w:rsidRDefault="00BD57C0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609" w:type="dxa"/>
          </w:tcPr>
          <w:p w:rsidR="00BD57C0" w:rsidRDefault="00BD57C0">
            <w:pPr>
              <w:pStyle w:val="ConsPlusNormal"/>
              <w:jc w:val="center"/>
            </w:pPr>
            <w:r>
              <w:t>120</w:t>
            </w:r>
          </w:p>
        </w:tc>
      </w:tr>
    </w:tbl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bookmarkStart w:id="7" w:name="P114"/>
      <w:bookmarkEnd w:id="7"/>
      <w:r>
        <w:t xml:space="preserve">2.2.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практика по получению первичных навыков работы с программным обеспечением применительно к области (сфере) профессиональной деятельности;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практика по получение первичных навыков научно-исследовательской работы;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практика по получению первичных навыков педагогической работы;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научно-производственная практика;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2.4. Организация: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</w:t>
      </w:r>
      <w:r>
        <w:lastRenderedPageBreak/>
        <w:t xml:space="preserve">производственной практики из перечня, указанного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10 процентов общего объема программы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2.8. Реализация части (частей) программы магистратуры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2.9.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BD57C0" w:rsidRDefault="00BD57C0">
      <w:pPr>
        <w:pStyle w:val="ConsPlusTitle"/>
        <w:jc w:val="center"/>
      </w:pPr>
      <w:r>
        <w:t>программы магистратуры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BD57C0" w:rsidRDefault="00BD5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BD57C0">
        <w:tc>
          <w:tcPr>
            <w:tcW w:w="2381" w:type="dxa"/>
          </w:tcPr>
          <w:p w:rsidR="00BD57C0" w:rsidRDefault="00BD57C0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категории (группы) универсальных компетенций</w:t>
            </w:r>
          </w:p>
        </w:tc>
        <w:tc>
          <w:tcPr>
            <w:tcW w:w="6690" w:type="dxa"/>
          </w:tcPr>
          <w:p w:rsidR="00BD57C0" w:rsidRDefault="00BD57C0">
            <w:pPr>
              <w:pStyle w:val="ConsPlusNormal"/>
              <w:jc w:val="center"/>
            </w:pPr>
            <w:r>
              <w:lastRenderedPageBreak/>
              <w:t>Код и наименование универсальной компетенции выпускника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t>Коммуникация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BD57C0" w:rsidRDefault="00BD5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1"/>
        <w:gridCol w:w="6690"/>
      </w:tblGrid>
      <w:tr w:rsidR="00BD57C0">
        <w:tc>
          <w:tcPr>
            <w:tcW w:w="2381" w:type="dxa"/>
          </w:tcPr>
          <w:p w:rsidR="00BD57C0" w:rsidRDefault="00BD57C0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690" w:type="dxa"/>
          </w:tcPr>
          <w:p w:rsidR="00BD57C0" w:rsidRDefault="00BD57C0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 программы магистратуры</w:t>
            </w:r>
          </w:p>
        </w:tc>
      </w:tr>
      <w:tr w:rsidR="00BD57C0">
        <w:tc>
          <w:tcPr>
            <w:tcW w:w="2381" w:type="dxa"/>
          </w:tcPr>
          <w:p w:rsidR="00BD57C0" w:rsidRDefault="00BD57C0">
            <w:pPr>
              <w:pStyle w:val="ConsPlusNormal"/>
            </w:pPr>
            <w:r>
              <w:t>Планирование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ОПК-1. Способен формулировать цели и задачи исследования, выявлять приоритеты решения задач, выбирать критерии оценки</w:t>
            </w:r>
          </w:p>
        </w:tc>
      </w:tr>
      <w:tr w:rsidR="00BD57C0">
        <w:tc>
          <w:tcPr>
            <w:tcW w:w="2381" w:type="dxa"/>
            <w:vAlign w:val="center"/>
          </w:tcPr>
          <w:p w:rsidR="00BD57C0" w:rsidRDefault="00BD57C0">
            <w:pPr>
              <w:pStyle w:val="ConsPlusNormal"/>
            </w:pPr>
            <w:r>
              <w:t>Исследование</w:t>
            </w:r>
          </w:p>
        </w:tc>
        <w:tc>
          <w:tcPr>
            <w:tcW w:w="6690" w:type="dxa"/>
            <w:vAlign w:val="center"/>
          </w:tcPr>
          <w:p w:rsidR="00BD57C0" w:rsidRDefault="00BD57C0">
            <w:pPr>
              <w:pStyle w:val="ConsPlusNormal"/>
              <w:jc w:val="both"/>
            </w:pPr>
            <w:r>
              <w:t>ОПК-2. Способен применять современные методы исследования, оценивать и представлять результаты выполненной работы</w:t>
            </w:r>
          </w:p>
        </w:tc>
      </w:tr>
    </w:tbl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3.5. При определении профессиональных компетенций, устанавливаемых программой </w:t>
      </w:r>
      <w:r>
        <w:lastRenderedPageBreak/>
        <w:t>магистратуры, Организация: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2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&lt;4&gt; (при наличии соответствующих профессиональных стандартов).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8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77" w:history="1">
        <w:r>
          <w:rPr>
            <w:color w:val="0000FF"/>
          </w:rPr>
          <w:t>пунктом 1.12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83" w:history="1">
        <w:r>
          <w:rPr>
            <w:color w:val="0000FF"/>
          </w:rPr>
          <w:t>пунктом 1.13</w:t>
        </w:r>
      </w:hyperlink>
      <w:r>
        <w:t xml:space="preserve"> ФГОС ВО.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lastRenderedPageBreak/>
        <w:t>3.7. Организация устанавливает в программе магистратуры индикаторы достижения компетенций: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&lt;6&gt;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</w:t>
      </w:r>
      <w:r>
        <w:lastRenderedPageBreak/>
        <w:t>обновлению при необходимости).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4.4.5. 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проекты (участвующим в осуществлении таких проектов) по направлению подготовки, имеющим </w:t>
      </w:r>
      <w:r>
        <w:lastRenderedPageBreak/>
        <w:t>ежегодные публикации по результатам указанной научно-исследовательской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&lt;7&gt;.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BD57C0" w:rsidRDefault="00BD57C0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right"/>
        <w:outlineLvl w:val="1"/>
      </w:pPr>
      <w:r>
        <w:t>Приложение</w:t>
      </w:r>
    </w:p>
    <w:p w:rsidR="00BD57C0" w:rsidRDefault="00BD57C0">
      <w:pPr>
        <w:pStyle w:val="ConsPlusNormal"/>
        <w:jc w:val="right"/>
      </w:pPr>
      <w:r>
        <w:t>к федеральному государственному</w:t>
      </w:r>
    </w:p>
    <w:p w:rsidR="00BD57C0" w:rsidRDefault="00BD57C0">
      <w:pPr>
        <w:pStyle w:val="ConsPlusNormal"/>
        <w:jc w:val="right"/>
      </w:pPr>
      <w:r>
        <w:t>образовательному стандарту</w:t>
      </w:r>
    </w:p>
    <w:p w:rsidR="00BD57C0" w:rsidRDefault="00BD57C0">
      <w:pPr>
        <w:pStyle w:val="ConsPlusNormal"/>
        <w:jc w:val="right"/>
      </w:pPr>
      <w:r>
        <w:t>высшего образования -</w:t>
      </w:r>
    </w:p>
    <w:p w:rsidR="00BD57C0" w:rsidRDefault="00BD57C0">
      <w:pPr>
        <w:pStyle w:val="ConsPlusNormal"/>
        <w:jc w:val="right"/>
      </w:pPr>
      <w:r>
        <w:t>магистратура по направлению</w:t>
      </w:r>
    </w:p>
    <w:p w:rsidR="00BD57C0" w:rsidRDefault="00BD57C0">
      <w:pPr>
        <w:pStyle w:val="ConsPlusNormal"/>
        <w:jc w:val="right"/>
      </w:pPr>
      <w:r>
        <w:t>подготовки 13.04.01</w:t>
      </w:r>
    </w:p>
    <w:p w:rsidR="00BD57C0" w:rsidRDefault="00BD57C0">
      <w:pPr>
        <w:pStyle w:val="ConsPlusNormal"/>
        <w:jc w:val="right"/>
      </w:pPr>
      <w:r>
        <w:t>Теплоэнергетика и теплотехника,</w:t>
      </w:r>
    </w:p>
    <w:p w:rsidR="00BD57C0" w:rsidRDefault="00BD57C0">
      <w:pPr>
        <w:pStyle w:val="ConsPlusNormal"/>
        <w:jc w:val="right"/>
      </w:pPr>
      <w:r>
        <w:t>утвержденному приказом</w:t>
      </w:r>
    </w:p>
    <w:p w:rsidR="00BD57C0" w:rsidRDefault="00BD57C0">
      <w:pPr>
        <w:pStyle w:val="ConsPlusNormal"/>
        <w:jc w:val="right"/>
      </w:pPr>
      <w:r>
        <w:t>Министерства образования и науки</w:t>
      </w:r>
    </w:p>
    <w:p w:rsidR="00BD57C0" w:rsidRDefault="00BD57C0">
      <w:pPr>
        <w:pStyle w:val="ConsPlusNormal"/>
        <w:jc w:val="right"/>
      </w:pPr>
      <w:r>
        <w:t>Российской Федерации</w:t>
      </w:r>
    </w:p>
    <w:p w:rsidR="00BD57C0" w:rsidRDefault="00BD57C0">
      <w:pPr>
        <w:pStyle w:val="ConsPlusNormal"/>
        <w:jc w:val="right"/>
      </w:pPr>
      <w:r>
        <w:t>от 28 февраля 2018 г. N 146</w:t>
      </w: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Title"/>
        <w:jc w:val="center"/>
      </w:pPr>
      <w:bookmarkStart w:id="8" w:name="P262"/>
      <w:bookmarkEnd w:id="8"/>
      <w:r>
        <w:t>ПЕРЕЧЕНЬ</w:t>
      </w:r>
    </w:p>
    <w:p w:rsidR="00BD57C0" w:rsidRDefault="00BD57C0">
      <w:pPr>
        <w:pStyle w:val="ConsPlusTitle"/>
        <w:jc w:val="center"/>
      </w:pPr>
      <w:r>
        <w:t>ПРОФЕССИОНАЛЬНЫХ СТАНДАРТОВ, СООТВЕТСТВУЮЩИХ</w:t>
      </w:r>
    </w:p>
    <w:p w:rsidR="00BD57C0" w:rsidRDefault="00BD57C0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BD57C0" w:rsidRDefault="00BD57C0">
      <w:pPr>
        <w:pStyle w:val="ConsPlusTitle"/>
        <w:jc w:val="center"/>
      </w:pPr>
      <w:r>
        <w:t>ПРОГРАММУ МАГИСТРАТУРЫ ПО НАПРАВЛЕНИЮ ПОДГОТОВКИ</w:t>
      </w:r>
    </w:p>
    <w:p w:rsidR="00BD57C0" w:rsidRDefault="00BD57C0">
      <w:pPr>
        <w:pStyle w:val="ConsPlusTitle"/>
        <w:jc w:val="center"/>
      </w:pPr>
      <w:r>
        <w:t>13.04.01 ТЕПЛОЭНЕРГЕТИКА И ТЕПЛОТЕХНИКА</w:t>
      </w:r>
    </w:p>
    <w:p w:rsidR="00BD57C0" w:rsidRDefault="00BD57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57"/>
        <w:gridCol w:w="6746"/>
      </w:tblGrid>
      <w:tr w:rsidR="00BD57C0">
        <w:tc>
          <w:tcPr>
            <w:tcW w:w="567" w:type="dxa"/>
          </w:tcPr>
          <w:p w:rsidR="00BD57C0" w:rsidRDefault="00BD57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BD57C0" w:rsidRDefault="00BD57C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746" w:type="dxa"/>
          </w:tcPr>
          <w:p w:rsidR="00BD57C0" w:rsidRDefault="00BD57C0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BD57C0" w:rsidRDefault="00BD57C0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BD57C0">
        <w:tc>
          <w:tcPr>
            <w:tcW w:w="9070" w:type="dxa"/>
            <w:gridSpan w:val="3"/>
            <w:vAlign w:val="center"/>
          </w:tcPr>
          <w:p w:rsidR="00BD57C0" w:rsidRDefault="00BD57C0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BD57C0">
        <w:tc>
          <w:tcPr>
            <w:tcW w:w="56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746" w:type="dxa"/>
            <w:vAlign w:val="center"/>
          </w:tcPr>
          <w:p w:rsidR="00BD57C0" w:rsidRDefault="00BD57C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BD57C0">
        <w:tc>
          <w:tcPr>
            <w:tcW w:w="9070" w:type="dxa"/>
            <w:gridSpan w:val="3"/>
            <w:vAlign w:val="center"/>
          </w:tcPr>
          <w:p w:rsidR="00BD57C0" w:rsidRDefault="00BD57C0">
            <w:pPr>
              <w:pStyle w:val="ConsPlusNormal"/>
              <w:jc w:val="center"/>
              <w:outlineLvl w:val="2"/>
            </w:pPr>
            <w:r>
              <w:t>19 Добыча, переработка, транспортировка нефти и газа</w:t>
            </w:r>
          </w:p>
        </w:tc>
      </w:tr>
      <w:tr w:rsidR="00BD57C0">
        <w:tc>
          <w:tcPr>
            <w:tcW w:w="56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19.008</w:t>
            </w:r>
          </w:p>
        </w:tc>
        <w:tc>
          <w:tcPr>
            <w:tcW w:w="6746" w:type="dxa"/>
            <w:vAlign w:val="center"/>
          </w:tcPr>
          <w:p w:rsidR="00BD57C0" w:rsidRDefault="00BD57C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диспетчерско-технологическому управлению нефтегазовой отрасли" утвержденный приказом Министерства труда и социальной защиты Российской Федерации от 26 декабря 2014 г. N 1185н (зарегистрирован Министерством юстиции Российской Федерации 5 февраля 2015 г., регистрационный N 35887)</w:t>
            </w:r>
          </w:p>
        </w:tc>
      </w:tr>
      <w:tr w:rsidR="00BD57C0">
        <w:tc>
          <w:tcPr>
            <w:tcW w:w="56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19.011</w:t>
            </w:r>
          </w:p>
        </w:tc>
        <w:tc>
          <w:tcPr>
            <w:tcW w:w="6746" w:type="dxa"/>
            <w:vAlign w:val="center"/>
          </w:tcPr>
          <w:p w:rsidR="00BD57C0" w:rsidRDefault="00BD57C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балансами и поставками газа", утвержденный приказом Министерства труда и социальной защиты Российской Федерации от 25 декабря 2014 г. N 1153н (зарегистрирован Министерством юстиции Российской Федерации 22 января 2015 г., регистрационный N 35642)</w:t>
            </w:r>
          </w:p>
        </w:tc>
      </w:tr>
      <w:tr w:rsidR="00BD57C0">
        <w:tc>
          <w:tcPr>
            <w:tcW w:w="56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75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19.012</w:t>
            </w:r>
          </w:p>
        </w:tc>
        <w:tc>
          <w:tcPr>
            <w:tcW w:w="6746" w:type="dxa"/>
            <w:vAlign w:val="center"/>
          </w:tcPr>
          <w:p w:rsidR="00BD57C0" w:rsidRDefault="00BD57C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оперативно-диспетчерскому управлению нефтегазовой отрасли", утвержденный приказом Министерства труда и социальной защиты Российской Федерации от 26 декабря 2014 г. N 1177н (зарегистрирован </w:t>
            </w:r>
            <w:r>
              <w:lastRenderedPageBreak/>
              <w:t>Министерством юстиции Российской Федерации 16 февраля 2015 г., регистрационный N 36026)</w:t>
            </w:r>
          </w:p>
        </w:tc>
      </w:tr>
      <w:tr w:rsidR="00BD57C0">
        <w:tc>
          <w:tcPr>
            <w:tcW w:w="9070" w:type="dxa"/>
            <w:gridSpan w:val="3"/>
            <w:vAlign w:val="center"/>
          </w:tcPr>
          <w:p w:rsidR="00BD57C0" w:rsidRDefault="00BD57C0">
            <w:pPr>
              <w:pStyle w:val="ConsPlusNormal"/>
              <w:jc w:val="center"/>
              <w:outlineLvl w:val="2"/>
            </w:pPr>
            <w:r>
              <w:lastRenderedPageBreak/>
              <w:t>40 Сквозные виды профессиональной деятельности в промышленности</w:t>
            </w:r>
          </w:p>
        </w:tc>
      </w:tr>
      <w:tr w:rsidR="00BD57C0">
        <w:tc>
          <w:tcPr>
            <w:tcW w:w="56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BD57C0" w:rsidRDefault="00BD57C0">
            <w:pPr>
              <w:pStyle w:val="ConsPlusNormal"/>
              <w:jc w:val="center"/>
            </w:pPr>
            <w:r>
              <w:t>40.116</w:t>
            </w:r>
          </w:p>
        </w:tc>
        <w:tc>
          <w:tcPr>
            <w:tcW w:w="6746" w:type="dxa"/>
            <w:vAlign w:val="center"/>
          </w:tcPr>
          <w:p w:rsidR="00BD57C0" w:rsidRDefault="00BD57C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промышленной безопасности при эксплуатации оборудования, работающего под избыточным давлением, и/или подъемных сооружений", утвержденный приказом Министерства труда и социальной защиты Российской Федерации от 24 декабря 2015 г. N 1142н (зарегистрирован Министерством юстиции Российской Федерации 26 января 2016 г., регистрационный N 40800)</w:t>
            </w:r>
          </w:p>
        </w:tc>
      </w:tr>
    </w:tbl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jc w:val="both"/>
      </w:pPr>
    </w:p>
    <w:p w:rsidR="00BD57C0" w:rsidRDefault="00BD57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B1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7C0"/>
    <w:rsid w:val="00006982"/>
    <w:rsid w:val="000156F2"/>
    <w:rsid w:val="002B6388"/>
    <w:rsid w:val="002D733B"/>
    <w:rsid w:val="003B6048"/>
    <w:rsid w:val="00436672"/>
    <w:rsid w:val="00474B04"/>
    <w:rsid w:val="005C1637"/>
    <w:rsid w:val="00616777"/>
    <w:rsid w:val="008418C4"/>
    <w:rsid w:val="00990267"/>
    <w:rsid w:val="009A5B44"/>
    <w:rsid w:val="009E28CE"/>
    <w:rsid w:val="00A475FD"/>
    <w:rsid w:val="00B93046"/>
    <w:rsid w:val="00BD57C0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5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57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D051049B9D9FFE607083723E1BC3D73843A8996A6903AE900B15569A895893EC3CAB53CC6951BM11EG" TargetMode="External"/><Relationship Id="rId13" Type="http://schemas.openxmlformats.org/officeDocument/2006/relationships/hyperlink" Target="consultantplus://offline/ref=D62D051049B9D9FFE607083723E1BC3D738C3C8893AF903AE900B15569A895893EC3CAB53CC69715M110G" TargetMode="External"/><Relationship Id="rId18" Type="http://schemas.openxmlformats.org/officeDocument/2006/relationships/hyperlink" Target="consultantplus://offline/ref=D62D051049B9D9FFE607083723E1BC3D738C3C8893AF903AE900B15569A895893EC3CAB53CC6971DM110G" TargetMode="External"/><Relationship Id="rId26" Type="http://schemas.openxmlformats.org/officeDocument/2006/relationships/hyperlink" Target="consultantplus://offline/ref=D62D051049B9D9FFE607083723E1BC3D708E3D8F95AA903AE900B15569A895893EC3CAB53CC6971DM11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62D051049B9D9FFE607083723E1BC3D738F398B95AB903AE900B15569MA18G" TargetMode="External"/><Relationship Id="rId7" Type="http://schemas.openxmlformats.org/officeDocument/2006/relationships/hyperlink" Target="consultantplus://offline/ref=D62D051049B9D9FFE607083723E1BC3D708A3B8693A8903AE900B15569A895893EC3CAB53CC6971CM112G" TargetMode="External"/><Relationship Id="rId12" Type="http://schemas.openxmlformats.org/officeDocument/2006/relationships/hyperlink" Target="consultantplus://offline/ref=D62D051049B9D9FFE607083723E1BC3D738C3C8893AF903AE900B15569A895893EC3CAB53CC69715M116G" TargetMode="External"/><Relationship Id="rId17" Type="http://schemas.openxmlformats.org/officeDocument/2006/relationships/hyperlink" Target="consultantplus://offline/ref=D62D051049B9D9FFE607083723E1BC3D738C3C8893AF903AE900B15569A895893EC3CAB53CC6961CM110G" TargetMode="External"/><Relationship Id="rId25" Type="http://schemas.openxmlformats.org/officeDocument/2006/relationships/hyperlink" Target="consultantplus://offline/ref=D62D051049B9D9FFE607083723E1BC3D708A3C8A94AA903AE900B15569A895893EC3CAB53CC6971DM11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2D051049B9D9FFE607083723E1BC3D738C3C8893AF903AE900B15569A895893EC3CAB53CC6961DM112G" TargetMode="External"/><Relationship Id="rId20" Type="http://schemas.openxmlformats.org/officeDocument/2006/relationships/hyperlink" Target="consultantplus://offline/ref=D62D051049B9D9FFE607083723E1BC3D73843E8A94AA903AE900B15569MA18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2D051049B9D9FFE607083723E1BC3D73853F8990A7903AE900B15569A895893EC3CAB53CC69719M114G" TargetMode="External"/><Relationship Id="rId11" Type="http://schemas.openxmlformats.org/officeDocument/2006/relationships/hyperlink" Target="consultantplus://offline/ref=D62D051049B9D9FFE607083723E1BC3D738C3C8893AF903AE900B15569A895893EC3CAB53CC69718M116G" TargetMode="External"/><Relationship Id="rId24" Type="http://schemas.openxmlformats.org/officeDocument/2006/relationships/hyperlink" Target="consultantplus://offline/ref=D62D051049B9D9FFE607083723E1BC3D708E3B8995A6903AE900B15569A895893EC3CAB53CC6971DM11FG" TargetMode="External"/><Relationship Id="rId5" Type="http://schemas.openxmlformats.org/officeDocument/2006/relationships/hyperlink" Target="consultantplus://offline/ref=D62D051049B9D9FFE607083723E1BC3D73843E8994AC903AE900B15569A895893EC3CAB53CC6971BM117G" TargetMode="External"/><Relationship Id="rId15" Type="http://schemas.openxmlformats.org/officeDocument/2006/relationships/hyperlink" Target="consultantplus://offline/ref=D62D051049B9D9FFE607083723E1BC3D738C3C8893AF903AE900B15569A895893EC3CAB53CC69714M110G" TargetMode="External"/><Relationship Id="rId23" Type="http://schemas.openxmlformats.org/officeDocument/2006/relationships/hyperlink" Target="consultantplus://offline/ref=D62D051049B9D9FFE607083723E1BC3D70853E8794AE903AE900B15569A895893EC3CAB53CC6971CM116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62D051049B9D9FFE607083723E1BC3D738C3C8893AF903AE900B15569A895893EC3CAB53CC69719M111G" TargetMode="External"/><Relationship Id="rId19" Type="http://schemas.openxmlformats.org/officeDocument/2006/relationships/hyperlink" Target="consultantplus://offline/ref=D62D051049B9D9FFE607083723E1BC3D70893E8696AF903AE900B15569MA18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62D051049B9D9FFE607083723E1BC3D73843A8996A6903AE900B15569A895893EC3CAB53CC69519M11FG" TargetMode="External"/><Relationship Id="rId14" Type="http://schemas.openxmlformats.org/officeDocument/2006/relationships/hyperlink" Target="consultantplus://offline/ref=D62D051049B9D9FFE607083723E1BC3D738C3C8893AF903AE900B15569A895893EC3CAB53CC69715M11EG" TargetMode="External"/><Relationship Id="rId22" Type="http://schemas.openxmlformats.org/officeDocument/2006/relationships/hyperlink" Target="consultantplus://offline/ref=D62D051049B9D9FFE607083723E1BC3D738A308D99A8903AE900B15569A895893EC3CAB53CC69E19M111G" TargetMode="External"/><Relationship Id="rId27" Type="http://schemas.openxmlformats.org/officeDocument/2006/relationships/hyperlink" Target="consultantplus://offline/ref=D62D051049B9D9FFE607083723E1BC3D70843B8994A6903AE900B15569A895893EC3CAB53CC6971DM11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5719</Words>
  <Characters>32602</Characters>
  <Application>Microsoft Office Word</Application>
  <DocSecurity>0</DocSecurity>
  <Lines>271</Lines>
  <Paragraphs>76</Paragraphs>
  <ScaleCrop>false</ScaleCrop>
  <Company/>
  <LinksUpToDate>false</LinksUpToDate>
  <CharactersWithSpaces>38245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2018-05-17T06:53:00Z</dcterms:created>
  <dcterms:modified xsi:type="dcterms:W3CDTF">2018-05-17T06:53:00Z</dcterms:modified>
</cp:coreProperties>
</file>