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22" w:rsidRDefault="0008502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85022" w:rsidRDefault="00085022">
      <w:pPr>
        <w:pStyle w:val="ConsPlusNormal"/>
        <w:jc w:val="both"/>
        <w:outlineLvl w:val="0"/>
      </w:pPr>
    </w:p>
    <w:p w:rsidR="00085022" w:rsidRDefault="00085022">
      <w:pPr>
        <w:pStyle w:val="ConsPlusNormal"/>
        <w:outlineLvl w:val="0"/>
      </w:pPr>
      <w:r>
        <w:t>Зарегистрировано в Минюсте России 10 октября 2017 г. N 48487</w:t>
      </w:r>
    </w:p>
    <w:p w:rsidR="00085022" w:rsidRDefault="000850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85022" w:rsidRDefault="00085022">
      <w:pPr>
        <w:pStyle w:val="ConsPlusTitle"/>
        <w:jc w:val="both"/>
      </w:pPr>
    </w:p>
    <w:p w:rsidR="00085022" w:rsidRDefault="00085022">
      <w:pPr>
        <w:pStyle w:val="ConsPlusTitle"/>
        <w:jc w:val="center"/>
      </w:pPr>
      <w:r>
        <w:t>ПРИКАЗ</w:t>
      </w:r>
    </w:p>
    <w:p w:rsidR="00085022" w:rsidRDefault="00085022">
      <w:pPr>
        <w:pStyle w:val="ConsPlusTitle"/>
        <w:jc w:val="center"/>
      </w:pPr>
      <w:r>
        <w:t>от 22 сентября 2017 г. N 957</w:t>
      </w:r>
    </w:p>
    <w:p w:rsidR="00085022" w:rsidRDefault="00085022">
      <w:pPr>
        <w:pStyle w:val="ConsPlusTitle"/>
        <w:jc w:val="both"/>
      </w:pPr>
    </w:p>
    <w:p w:rsidR="00085022" w:rsidRDefault="00085022">
      <w:pPr>
        <w:pStyle w:val="ConsPlusTitle"/>
        <w:jc w:val="center"/>
      </w:pPr>
      <w:r>
        <w:t>ОБ УТВЕРЖДЕНИИ</w:t>
      </w:r>
    </w:p>
    <w:p w:rsidR="00085022" w:rsidRDefault="00085022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85022" w:rsidRDefault="00085022">
      <w:pPr>
        <w:pStyle w:val="ConsPlusTitle"/>
        <w:jc w:val="center"/>
      </w:pPr>
      <w:r>
        <w:t>ВЫСШЕГО ОБРАЗОВАНИЯ - МАГИСТРАТУРА ПО НАПРАВЛЕНИЮ</w:t>
      </w:r>
    </w:p>
    <w:p w:rsidR="00085022" w:rsidRDefault="00085022">
      <w:pPr>
        <w:pStyle w:val="ConsPlusTitle"/>
        <w:jc w:val="center"/>
      </w:pPr>
      <w:r>
        <w:t>ПОДГОТОВКИ 12.04.01 ПРИБОРОСТРОЕНИЕ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12.04.01 Приборостроение (далее - стандарт).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12.04.01 Приборостроение (уровень магистратуры), утвержденным приказом Министерства образования и науки Российской Федерации от 30 октября 2014 г. N 1408 (зарегистрирован Министерством юстиции Российской Федерации 26 ноября 2014 г., регистрационный N 34919), прекращается 31 декабря 2018 года.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jc w:val="right"/>
      </w:pPr>
      <w:r>
        <w:t>Министр</w:t>
      </w:r>
    </w:p>
    <w:p w:rsidR="00085022" w:rsidRDefault="00085022">
      <w:pPr>
        <w:pStyle w:val="ConsPlusNormal"/>
        <w:jc w:val="right"/>
      </w:pPr>
      <w:r>
        <w:t>О.Ю.ВАСИЛЬЕВА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jc w:val="right"/>
        <w:outlineLvl w:val="0"/>
      </w:pPr>
      <w:r>
        <w:t>Приложение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jc w:val="right"/>
      </w:pPr>
      <w:r>
        <w:t>Утвержден</w:t>
      </w:r>
    </w:p>
    <w:p w:rsidR="00085022" w:rsidRDefault="00085022">
      <w:pPr>
        <w:pStyle w:val="ConsPlusNormal"/>
        <w:jc w:val="right"/>
      </w:pPr>
      <w:r>
        <w:lastRenderedPageBreak/>
        <w:t>приказом Министерства образования</w:t>
      </w:r>
    </w:p>
    <w:p w:rsidR="00085022" w:rsidRDefault="00085022">
      <w:pPr>
        <w:pStyle w:val="ConsPlusNormal"/>
        <w:jc w:val="right"/>
      </w:pPr>
      <w:r>
        <w:t>и науки Российской Федерации</w:t>
      </w:r>
    </w:p>
    <w:p w:rsidR="00085022" w:rsidRDefault="00085022">
      <w:pPr>
        <w:pStyle w:val="ConsPlusNormal"/>
        <w:jc w:val="right"/>
      </w:pPr>
      <w:r>
        <w:t>от 22 сентября 2017 г. N 957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085022" w:rsidRDefault="00085022">
      <w:pPr>
        <w:pStyle w:val="ConsPlusTitle"/>
        <w:jc w:val="center"/>
      </w:pPr>
      <w:r>
        <w:t>ВЫСШЕГО ОБРАЗОВАНИЯ - МАГИСТРАТУРА ПО НАПРАВЛЕНИЮ</w:t>
      </w:r>
    </w:p>
    <w:p w:rsidR="00085022" w:rsidRDefault="00085022">
      <w:pPr>
        <w:pStyle w:val="ConsPlusTitle"/>
        <w:jc w:val="center"/>
      </w:pPr>
      <w:r>
        <w:t>ПОДГОТОВКИ 12.04.01 ПРИБОРОСТРОЕНИЕ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Title"/>
        <w:jc w:val="center"/>
        <w:outlineLvl w:val="1"/>
      </w:pPr>
      <w:r>
        <w:t>I. Общие положения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12.04.01 Приборостроение (далее соответственно - программа магистратуры, направление подготовки).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1.3. Обучение по программе магистратуры в Организации может осуществляться в очной, очно-заочной и заочной формах.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Реализация программы магистратуры с применением исключительно электронного обучения, дистанционных образовательных технологий не допускается.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</w:t>
      </w:r>
      <w:r>
        <w:lastRenderedPageBreak/>
        <w:t>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4765).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085022" w:rsidRDefault="00085022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ВО: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085022" w:rsidRDefault="00085022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(или)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29</w:t>
        </w:r>
      </w:hyperlink>
      <w:r>
        <w:t xml:space="preserve"> Производство электрооборудования, электронного и оптического оборудования (в сфере научных исследований передачи, обработки, детектирования и измерения сигналов, моделирования работы и экспериментальных исследований, создания и освоения разнообразных методик и аппаратуры, использующих передачу энергии и информации различной физической </w:t>
      </w:r>
      <w:r>
        <w:lastRenderedPageBreak/>
        <w:t>природы, разработки и технологий производства приборов и комплексов электронного и оптического оборудования различного назначения);</w:t>
      </w:r>
    </w:p>
    <w:p w:rsidR="00085022" w:rsidRDefault="00085022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сфере организации и управления научными исследованиями и разработками, технического контроля продукции);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сфера исследований и разработок научного и аналитического приборостроения.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85022" w:rsidRDefault="00085022">
      <w:pPr>
        <w:pStyle w:val="ConsPlusNormal"/>
        <w:spacing w:before="220"/>
        <w:ind w:firstLine="540"/>
        <w:jc w:val="both"/>
      </w:pPr>
      <w:bookmarkStart w:id="4" w:name="P71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проектно-конструкторский;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производственно-технологический.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на: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(или) сферу (сферы) профессиональной деятельности выпускников;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085022" w:rsidRDefault="00085022">
      <w:pPr>
        <w:pStyle w:val="ConsPlusNormal"/>
        <w:spacing w:before="220"/>
        <w:ind w:firstLine="540"/>
        <w:jc w:val="both"/>
      </w:pPr>
      <w:hyperlink w:anchor="P94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085022" w:rsidRDefault="00085022">
      <w:pPr>
        <w:pStyle w:val="ConsPlusNormal"/>
        <w:spacing w:before="220"/>
        <w:ind w:firstLine="540"/>
        <w:jc w:val="both"/>
      </w:pPr>
      <w:hyperlink w:anchor="P97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085022" w:rsidRDefault="00085022">
      <w:pPr>
        <w:pStyle w:val="ConsPlusNormal"/>
        <w:spacing w:before="220"/>
        <w:ind w:firstLine="540"/>
        <w:jc w:val="both"/>
      </w:pPr>
      <w:hyperlink w:anchor="P1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jc w:val="right"/>
      </w:pPr>
      <w:r>
        <w:t>Таблица</w:t>
      </w:r>
    </w:p>
    <w:p w:rsidR="00085022" w:rsidRDefault="000850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4243"/>
        <w:gridCol w:w="3628"/>
      </w:tblGrid>
      <w:tr w:rsidR="00085022">
        <w:tc>
          <w:tcPr>
            <w:tcW w:w="5434" w:type="dxa"/>
            <w:gridSpan w:val="2"/>
          </w:tcPr>
          <w:p w:rsidR="00085022" w:rsidRDefault="00085022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628" w:type="dxa"/>
          </w:tcPr>
          <w:p w:rsidR="00085022" w:rsidRDefault="00085022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085022">
        <w:tc>
          <w:tcPr>
            <w:tcW w:w="1191" w:type="dxa"/>
          </w:tcPr>
          <w:p w:rsidR="00085022" w:rsidRDefault="00085022">
            <w:pPr>
              <w:pStyle w:val="ConsPlusNormal"/>
              <w:jc w:val="center"/>
            </w:pPr>
            <w:bookmarkStart w:id="5" w:name="P94"/>
            <w:bookmarkEnd w:id="5"/>
            <w:r>
              <w:lastRenderedPageBreak/>
              <w:t>Блок 1</w:t>
            </w:r>
          </w:p>
        </w:tc>
        <w:tc>
          <w:tcPr>
            <w:tcW w:w="4243" w:type="dxa"/>
          </w:tcPr>
          <w:p w:rsidR="00085022" w:rsidRDefault="00085022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28" w:type="dxa"/>
          </w:tcPr>
          <w:p w:rsidR="00085022" w:rsidRDefault="00085022">
            <w:pPr>
              <w:pStyle w:val="ConsPlusNormal"/>
              <w:jc w:val="center"/>
            </w:pPr>
            <w:r>
              <w:t>не менее 51</w:t>
            </w:r>
          </w:p>
        </w:tc>
      </w:tr>
      <w:tr w:rsidR="00085022">
        <w:tc>
          <w:tcPr>
            <w:tcW w:w="1191" w:type="dxa"/>
          </w:tcPr>
          <w:p w:rsidR="00085022" w:rsidRDefault="00085022">
            <w:pPr>
              <w:pStyle w:val="ConsPlusNormal"/>
              <w:jc w:val="center"/>
            </w:pPr>
            <w:bookmarkStart w:id="6" w:name="P97"/>
            <w:bookmarkEnd w:id="6"/>
            <w:r>
              <w:t>Блок 2</w:t>
            </w:r>
          </w:p>
        </w:tc>
        <w:tc>
          <w:tcPr>
            <w:tcW w:w="4243" w:type="dxa"/>
          </w:tcPr>
          <w:p w:rsidR="00085022" w:rsidRDefault="00085022">
            <w:pPr>
              <w:pStyle w:val="ConsPlusNormal"/>
            </w:pPr>
            <w:r>
              <w:t>Практика</w:t>
            </w:r>
          </w:p>
        </w:tc>
        <w:tc>
          <w:tcPr>
            <w:tcW w:w="3628" w:type="dxa"/>
          </w:tcPr>
          <w:p w:rsidR="00085022" w:rsidRDefault="00085022">
            <w:pPr>
              <w:pStyle w:val="ConsPlusNormal"/>
              <w:jc w:val="center"/>
            </w:pPr>
            <w:r>
              <w:t>не менее 39</w:t>
            </w:r>
          </w:p>
        </w:tc>
      </w:tr>
      <w:tr w:rsidR="00085022">
        <w:tc>
          <w:tcPr>
            <w:tcW w:w="1191" w:type="dxa"/>
          </w:tcPr>
          <w:p w:rsidR="00085022" w:rsidRDefault="00085022">
            <w:pPr>
              <w:pStyle w:val="ConsPlusNormal"/>
              <w:jc w:val="center"/>
            </w:pPr>
            <w:bookmarkStart w:id="7" w:name="P100"/>
            <w:bookmarkEnd w:id="7"/>
            <w:r>
              <w:t>Блок 3</w:t>
            </w:r>
          </w:p>
        </w:tc>
        <w:tc>
          <w:tcPr>
            <w:tcW w:w="4243" w:type="dxa"/>
          </w:tcPr>
          <w:p w:rsidR="00085022" w:rsidRDefault="00085022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28" w:type="dxa"/>
          </w:tcPr>
          <w:p w:rsidR="00085022" w:rsidRDefault="00085022">
            <w:pPr>
              <w:pStyle w:val="ConsPlusNormal"/>
              <w:jc w:val="center"/>
            </w:pPr>
            <w:r>
              <w:t>6 - 9</w:t>
            </w:r>
          </w:p>
        </w:tc>
      </w:tr>
      <w:tr w:rsidR="00085022">
        <w:tc>
          <w:tcPr>
            <w:tcW w:w="5434" w:type="dxa"/>
            <w:gridSpan w:val="2"/>
          </w:tcPr>
          <w:p w:rsidR="00085022" w:rsidRDefault="00085022">
            <w:pPr>
              <w:pStyle w:val="ConsPlusNormal"/>
              <w:ind w:left="283"/>
            </w:pPr>
            <w:r>
              <w:t>Объем программы магистратуры</w:t>
            </w:r>
          </w:p>
        </w:tc>
        <w:tc>
          <w:tcPr>
            <w:tcW w:w="3628" w:type="dxa"/>
          </w:tcPr>
          <w:p w:rsidR="00085022" w:rsidRDefault="00085022">
            <w:pPr>
              <w:pStyle w:val="ConsPlusNormal"/>
              <w:jc w:val="center"/>
            </w:pPr>
            <w:r>
              <w:t>120</w:t>
            </w:r>
          </w:p>
        </w:tc>
      </w:tr>
    </w:tbl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ind w:firstLine="540"/>
        <w:jc w:val="both"/>
      </w:pPr>
      <w:bookmarkStart w:id="8" w:name="P106"/>
      <w:bookmarkEnd w:id="8"/>
      <w:r>
        <w:t xml:space="preserve">2.2. В </w:t>
      </w:r>
      <w:hyperlink w:anchor="P97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проектно-конструкторская практика;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производственно-технологическая практика.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научно-исследовательская работа;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проектно-конструкторская практика;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производственно-технологическая практика.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6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2.4. Организация: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06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2.6. 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а также </w:t>
      </w:r>
      <w:r>
        <w:lastRenderedPageBreak/>
        <w:t>профессиональных компетенций, установленных ПООП в качестве обязательных (при наличии).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магистратуры и в часть, формируемую участниками образовательных отношений.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20 процентов общего объема программы магистратуры.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2.8. 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2.9. Организация должна предоставлять инвалидам и лицам с ОВЗ (по их заявлению) возможность обучения по программе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085022" w:rsidRDefault="00085022">
      <w:pPr>
        <w:pStyle w:val="ConsPlusTitle"/>
        <w:jc w:val="center"/>
      </w:pPr>
      <w:r>
        <w:t>программы магистратуры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085022" w:rsidRDefault="000850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93"/>
      </w:tblGrid>
      <w:tr w:rsidR="00085022">
        <w:tc>
          <w:tcPr>
            <w:tcW w:w="2778" w:type="dxa"/>
          </w:tcPr>
          <w:p w:rsidR="00085022" w:rsidRDefault="00085022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085022" w:rsidRDefault="00085022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085022">
        <w:tc>
          <w:tcPr>
            <w:tcW w:w="2778" w:type="dxa"/>
            <w:vAlign w:val="center"/>
          </w:tcPr>
          <w:p w:rsidR="00085022" w:rsidRDefault="00085022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93" w:type="dxa"/>
            <w:vAlign w:val="center"/>
          </w:tcPr>
          <w:p w:rsidR="00085022" w:rsidRDefault="00085022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085022">
        <w:tc>
          <w:tcPr>
            <w:tcW w:w="2778" w:type="dxa"/>
            <w:vAlign w:val="center"/>
          </w:tcPr>
          <w:p w:rsidR="00085022" w:rsidRDefault="00085022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  <w:vAlign w:val="center"/>
          </w:tcPr>
          <w:p w:rsidR="00085022" w:rsidRDefault="00085022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085022">
        <w:tc>
          <w:tcPr>
            <w:tcW w:w="2778" w:type="dxa"/>
            <w:vAlign w:val="center"/>
          </w:tcPr>
          <w:p w:rsidR="00085022" w:rsidRDefault="00085022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  <w:vAlign w:val="center"/>
          </w:tcPr>
          <w:p w:rsidR="00085022" w:rsidRDefault="00085022">
            <w:pPr>
              <w:pStyle w:val="ConsPlusNormal"/>
              <w:jc w:val="both"/>
            </w:pPr>
            <w: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085022">
        <w:tc>
          <w:tcPr>
            <w:tcW w:w="2778" w:type="dxa"/>
            <w:vAlign w:val="center"/>
          </w:tcPr>
          <w:p w:rsidR="00085022" w:rsidRDefault="00085022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  <w:vAlign w:val="center"/>
          </w:tcPr>
          <w:p w:rsidR="00085022" w:rsidRDefault="00085022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085022">
        <w:tc>
          <w:tcPr>
            <w:tcW w:w="2778" w:type="dxa"/>
            <w:vAlign w:val="center"/>
          </w:tcPr>
          <w:p w:rsidR="00085022" w:rsidRDefault="00085022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  <w:vAlign w:val="center"/>
          </w:tcPr>
          <w:p w:rsidR="00085022" w:rsidRDefault="00085022">
            <w:pPr>
              <w:pStyle w:val="ConsPlusNormal"/>
              <w:jc w:val="both"/>
            </w:pPr>
            <w: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085022">
        <w:tc>
          <w:tcPr>
            <w:tcW w:w="2778" w:type="dxa"/>
            <w:vAlign w:val="center"/>
          </w:tcPr>
          <w:p w:rsidR="00085022" w:rsidRDefault="00085022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93" w:type="dxa"/>
            <w:vAlign w:val="center"/>
          </w:tcPr>
          <w:p w:rsidR="00085022" w:rsidRDefault="00085022">
            <w:pPr>
              <w:pStyle w:val="ConsPlusNormal"/>
              <w:jc w:val="both"/>
            </w:pPr>
            <w: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ind w:firstLine="540"/>
        <w:jc w:val="both"/>
      </w:pPr>
      <w:r>
        <w:lastRenderedPageBreak/>
        <w:t>3.3. Программа магистратуры должна устанавливать следующие общепрофессиональные компетенции:</w:t>
      </w:r>
    </w:p>
    <w:p w:rsidR="00085022" w:rsidRDefault="000850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4"/>
        <w:gridCol w:w="6293"/>
      </w:tblGrid>
      <w:tr w:rsidR="00085022">
        <w:tc>
          <w:tcPr>
            <w:tcW w:w="2754" w:type="dxa"/>
          </w:tcPr>
          <w:p w:rsidR="00085022" w:rsidRDefault="00085022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93" w:type="dxa"/>
          </w:tcPr>
          <w:p w:rsidR="00085022" w:rsidRDefault="00085022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085022">
        <w:tc>
          <w:tcPr>
            <w:tcW w:w="2754" w:type="dxa"/>
            <w:vAlign w:val="center"/>
          </w:tcPr>
          <w:p w:rsidR="00085022" w:rsidRDefault="00085022">
            <w:pPr>
              <w:pStyle w:val="ConsPlusNormal"/>
            </w:pPr>
            <w:r>
              <w:t>Инженерный анализ и проектирование</w:t>
            </w:r>
          </w:p>
        </w:tc>
        <w:tc>
          <w:tcPr>
            <w:tcW w:w="6293" w:type="dxa"/>
          </w:tcPr>
          <w:p w:rsidR="00085022" w:rsidRDefault="00085022">
            <w:pPr>
              <w:pStyle w:val="ConsPlusNormal"/>
              <w:ind w:firstLine="283"/>
              <w:jc w:val="both"/>
            </w:pPr>
            <w:r>
              <w:t>ОПК-1. Способен представлять современную научную картину мира, выявлять естественнонаучную сущность проблемы, формулировать задачи, определять пути их решения и оценивать эффективность выбора и методов правовой защиты результатов интеллектуальной деятельности с учетом специфики научных исследований для создания разнообразных методик, аппаратуры и технологий производства в приборостроении</w:t>
            </w:r>
          </w:p>
        </w:tc>
      </w:tr>
      <w:tr w:rsidR="00085022">
        <w:tc>
          <w:tcPr>
            <w:tcW w:w="2754" w:type="dxa"/>
            <w:vAlign w:val="center"/>
          </w:tcPr>
          <w:p w:rsidR="00085022" w:rsidRDefault="00085022">
            <w:pPr>
              <w:pStyle w:val="ConsPlusNormal"/>
            </w:pPr>
            <w:r>
              <w:t>Научные исследования</w:t>
            </w:r>
          </w:p>
        </w:tc>
        <w:tc>
          <w:tcPr>
            <w:tcW w:w="6293" w:type="dxa"/>
          </w:tcPr>
          <w:p w:rsidR="00085022" w:rsidRDefault="00085022">
            <w:pPr>
              <w:pStyle w:val="ConsPlusNormal"/>
              <w:ind w:firstLine="283"/>
              <w:jc w:val="both"/>
            </w:pPr>
            <w:r>
              <w:t>ОПК-2. Способен организовать проведение научного исследования и разработку, представлять и аргументированно защищать полученные результаты интеллектуальной деятельности, связанные с обработкой, передачей и измерением сигналов различной физической природы в приборостроении</w:t>
            </w:r>
          </w:p>
        </w:tc>
      </w:tr>
      <w:tr w:rsidR="00085022">
        <w:tc>
          <w:tcPr>
            <w:tcW w:w="2754" w:type="dxa"/>
            <w:vAlign w:val="center"/>
          </w:tcPr>
          <w:p w:rsidR="00085022" w:rsidRDefault="00085022">
            <w:pPr>
              <w:pStyle w:val="ConsPlusNormal"/>
            </w:pPr>
            <w:r>
              <w:t>Использование информационных технологий</w:t>
            </w:r>
          </w:p>
        </w:tc>
        <w:tc>
          <w:tcPr>
            <w:tcW w:w="6293" w:type="dxa"/>
          </w:tcPr>
          <w:p w:rsidR="00085022" w:rsidRDefault="00085022">
            <w:pPr>
              <w:pStyle w:val="ConsPlusNormal"/>
              <w:ind w:firstLine="283"/>
              <w:jc w:val="both"/>
            </w:pPr>
            <w:r>
              <w:t>ОПК-3. Способен приобретать и использовать новые знания в своей предметной области на основе информационных систем и технологий, предлагать новые идеи и подходы к решению инженерных задач</w:t>
            </w:r>
          </w:p>
        </w:tc>
      </w:tr>
    </w:tbl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ind w:firstLine="540"/>
        <w:jc w:val="both"/>
      </w:pPr>
      <w:r>
        <w:t>3.4. Профессиональные компетенции, устанавливаемые программой магистратуры,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магистратуры, Организация: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включает в программу магистратуры все обязательные профессиональные компетенции (при наличии);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вправе включить в программу магистратуры одну или несколько рекомендуемых профессиональных компетенций (при наличии);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включает определяемые самостоятельно одну или несколько профессиональных компетенций, исходя из направленности (профиля) программы магистратуры,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</w:t>
      </w:r>
      <w:r>
        <w:lastRenderedPageBreak/>
        <w:t>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магистратуры рекомендуемых профессиональных компетенций).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49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anchor="P71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компетенций: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</w:t>
      </w:r>
      <w:r>
        <w:lastRenderedPageBreak/>
        <w:t>магистратуры индикаторами достижения компетенций.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085022" w:rsidRDefault="00085022">
      <w:pPr>
        <w:pStyle w:val="ConsPlusNormal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4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0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3596; N 31, ст. 4825), 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4.2.4. 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(исходя из количества замещаемых ставок, приведенного к целочисленным значениям)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085022" w:rsidRDefault="00085022">
      <w:pPr>
        <w:pStyle w:val="ConsPlusNormal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lastRenderedPageBreak/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085022" w:rsidRDefault="00085022">
      <w:pPr>
        <w:pStyle w:val="ConsPlusNormal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4.4.6. 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085022" w:rsidRDefault="00085022">
      <w:pPr>
        <w:pStyle w:val="ConsPlusNormal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6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</w:t>
      </w:r>
      <w:r>
        <w:lastRenderedPageBreak/>
        <w:t>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085022" w:rsidRDefault="00085022">
      <w:pPr>
        <w:pStyle w:val="ConsPlusNormal"/>
        <w:ind w:firstLine="540"/>
        <w:jc w:val="both"/>
      </w:pPr>
      <w:r>
        <w:t>4.6.1. Качество образовательной деятельности и подготовки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 с учетом соответствующей ПООП.</w:t>
      </w:r>
    </w:p>
    <w:p w:rsidR="00085022" w:rsidRDefault="00085022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jc w:val="right"/>
        <w:outlineLvl w:val="1"/>
      </w:pPr>
      <w:r>
        <w:t>Приложение</w:t>
      </w:r>
    </w:p>
    <w:p w:rsidR="00085022" w:rsidRDefault="00085022">
      <w:pPr>
        <w:pStyle w:val="ConsPlusNormal"/>
        <w:jc w:val="right"/>
      </w:pPr>
      <w:r>
        <w:t>к федеральному государственному</w:t>
      </w:r>
    </w:p>
    <w:p w:rsidR="00085022" w:rsidRDefault="00085022">
      <w:pPr>
        <w:pStyle w:val="ConsPlusNormal"/>
        <w:jc w:val="right"/>
      </w:pPr>
      <w:r>
        <w:t>образовательному стандарту высшего</w:t>
      </w:r>
    </w:p>
    <w:p w:rsidR="00085022" w:rsidRDefault="00085022">
      <w:pPr>
        <w:pStyle w:val="ConsPlusNormal"/>
        <w:jc w:val="right"/>
      </w:pPr>
      <w:r>
        <w:t>образования - магистратура по направлению</w:t>
      </w:r>
    </w:p>
    <w:p w:rsidR="00085022" w:rsidRDefault="00085022">
      <w:pPr>
        <w:pStyle w:val="ConsPlusNormal"/>
        <w:jc w:val="right"/>
      </w:pPr>
      <w:r>
        <w:t>подготовки 12.04.01. Приборостроение,</w:t>
      </w:r>
    </w:p>
    <w:p w:rsidR="00085022" w:rsidRDefault="00085022">
      <w:pPr>
        <w:pStyle w:val="ConsPlusNormal"/>
        <w:jc w:val="right"/>
      </w:pPr>
      <w:r>
        <w:t>утвержденному приказом Министерства</w:t>
      </w:r>
    </w:p>
    <w:p w:rsidR="00085022" w:rsidRDefault="00085022">
      <w:pPr>
        <w:pStyle w:val="ConsPlusNormal"/>
        <w:jc w:val="right"/>
      </w:pPr>
      <w:r>
        <w:t>образования и науки</w:t>
      </w:r>
    </w:p>
    <w:p w:rsidR="00085022" w:rsidRDefault="00085022">
      <w:pPr>
        <w:pStyle w:val="ConsPlusNormal"/>
        <w:jc w:val="right"/>
      </w:pPr>
      <w:r>
        <w:t>Российской Федерации</w:t>
      </w:r>
    </w:p>
    <w:p w:rsidR="00085022" w:rsidRDefault="00085022">
      <w:pPr>
        <w:pStyle w:val="ConsPlusNormal"/>
        <w:jc w:val="right"/>
      </w:pPr>
      <w:r>
        <w:t>от 22 сентября 2017 г. N 957</w:t>
      </w: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Title"/>
        <w:jc w:val="center"/>
      </w:pPr>
      <w:bookmarkStart w:id="9" w:name="P249"/>
      <w:bookmarkEnd w:id="9"/>
      <w:r>
        <w:t>ПЕРЕЧЕНЬ</w:t>
      </w:r>
    </w:p>
    <w:p w:rsidR="00085022" w:rsidRDefault="00085022">
      <w:pPr>
        <w:pStyle w:val="ConsPlusTitle"/>
        <w:jc w:val="center"/>
      </w:pPr>
      <w:r>
        <w:t>ПРОФЕССИОНАЛЬНЫХ СТАНДАРТОВ, СООТВЕТСТВУЮЩИХ</w:t>
      </w:r>
    </w:p>
    <w:p w:rsidR="00085022" w:rsidRDefault="00085022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085022" w:rsidRDefault="00085022">
      <w:pPr>
        <w:pStyle w:val="ConsPlusTitle"/>
        <w:jc w:val="center"/>
      </w:pPr>
      <w:r>
        <w:t>ПРОГРАММУ МАГИСТРАТУРЫ ПО НАПРАВЛЕНИЮ ПОДГОТОВКИ</w:t>
      </w:r>
    </w:p>
    <w:p w:rsidR="00085022" w:rsidRDefault="00085022">
      <w:pPr>
        <w:pStyle w:val="ConsPlusTitle"/>
        <w:jc w:val="center"/>
      </w:pPr>
      <w:r>
        <w:t>12.04.01. ПРИБОРОСТРОЕНИЕ</w:t>
      </w:r>
    </w:p>
    <w:p w:rsidR="00085022" w:rsidRDefault="000850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84"/>
        <w:gridCol w:w="6576"/>
      </w:tblGrid>
      <w:tr w:rsidR="00085022">
        <w:tc>
          <w:tcPr>
            <w:tcW w:w="510" w:type="dxa"/>
          </w:tcPr>
          <w:p w:rsidR="00085022" w:rsidRDefault="0008502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085022" w:rsidRDefault="00085022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576" w:type="dxa"/>
          </w:tcPr>
          <w:p w:rsidR="00085022" w:rsidRDefault="00085022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085022" w:rsidRDefault="00085022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085022">
        <w:tc>
          <w:tcPr>
            <w:tcW w:w="9070" w:type="dxa"/>
            <w:gridSpan w:val="3"/>
          </w:tcPr>
          <w:p w:rsidR="00085022" w:rsidRDefault="00085022">
            <w:pPr>
              <w:pStyle w:val="ConsPlusNormal"/>
              <w:jc w:val="center"/>
              <w:outlineLvl w:val="2"/>
            </w:pPr>
            <w:r>
              <w:t>29 Производство электрооборудования, электронного и оптического оборудования</w:t>
            </w:r>
          </w:p>
        </w:tc>
      </w:tr>
      <w:tr w:rsidR="00085022">
        <w:tc>
          <w:tcPr>
            <w:tcW w:w="510" w:type="dxa"/>
            <w:vAlign w:val="center"/>
          </w:tcPr>
          <w:p w:rsidR="00085022" w:rsidRDefault="0008502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085022" w:rsidRDefault="00085022">
            <w:pPr>
              <w:pStyle w:val="ConsPlusNormal"/>
              <w:jc w:val="center"/>
            </w:pPr>
            <w:r>
              <w:t>29.004</w:t>
            </w:r>
          </w:p>
        </w:tc>
        <w:tc>
          <w:tcPr>
            <w:tcW w:w="6576" w:type="dxa"/>
            <w:vAlign w:val="center"/>
          </w:tcPr>
          <w:p w:rsidR="00085022" w:rsidRDefault="0008502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проектирования и сопровождения производства оптотехники, оптических и оптико-электронных приборов и комплексов", утвержденный приказом Министерства труда и социальной защиты Российской Федерации от 24 декабря 2015 г. N 1141н (зарегистрирован Министерством юстиции Российской Федерации 28 января 2016 г., регистрационный N 40836)</w:t>
            </w:r>
          </w:p>
        </w:tc>
      </w:tr>
      <w:tr w:rsidR="00085022">
        <w:tc>
          <w:tcPr>
            <w:tcW w:w="9070" w:type="dxa"/>
            <w:gridSpan w:val="3"/>
          </w:tcPr>
          <w:p w:rsidR="00085022" w:rsidRDefault="00085022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085022">
        <w:tc>
          <w:tcPr>
            <w:tcW w:w="510" w:type="dxa"/>
            <w:vAlign w:val="center"/>
          </w:tcPr>
          <w:p w:rsidR="00085022" w:rsidRDefault="0008502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085022" w:rsidRDefault="00085022">
            <w:pPr>
              <w:pStyle w:val="ConsPlusNormal"/>
              <w:jc w:val="center"/>
            </w:pPr>
            <w:r>
              <w:t>40.010</w:t>
            </w:r>
          </w:p>
        </w:tc>
        <w:tc>
          <w:tcPr>
            <w:tcW w:w="6576" w:type="dxa"/>
            <w:vAlign w:val="center"/>
          </w:tcPr>
          <w:p w:rsidR="00085022" w:rsidRDefault="0008502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техническому контролю качества продукции", утвержденный приказом Министерства труда и социальной защиты Российской Федерации от 21 марта 2017 г. N 292н (зарегистрирован Министерством юстиции Российской Федерации 6 апреля 2017 г., регистрационный N 46271)</w:t>
            </w:r>
          </w:p>
        </w:tc>
      </w:tr>
      <w:tr w:rsidR="00085022">
        <w:tc>
          <w:tcPr>
            <w:tcW w:w="510" w:type="dxa"/>
            <w:vAlign w:val="center"/>
          </w:tcPr>
          <w:p w:rsidR="00085022" w:rsidRDefault="0008502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  <w:vAlign w:val="center"/>
          </w:tcPr>
          <w:p w:rsidR="00085022" w:rsidRDefault="00085022">
            <w:pPr>
              <w:pStyle w:val="ConsPlusNormal"/>
              <w:jc w:val="center"/>
            </w:pPr>
            <w:r>
              <w:t>40.053</w:t>
            </w:r>
          </w:p>
        </w:tc>
        <w:tc>
          <w:tcPr>
            <w:tcW w:w="6576" w:type="dxa"/>
            <w:vAlign w:val="center"/>
          </w:tcPr>
          <w:p w:rsidR="00085022" w:rsidRDefault="00085022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постпродажного обслуживания и сервиса", утвержденный приказом Министерства труда и социальной защиты Российской Федерации от 31 октября 2014 г. N 864н (зарегистрирован Министерством юстиции Российской Федерации 24 ноября 2014 г., регистрационный N 34867)</w:t>
            </w:r>
          </w:p>
        </w:tc>
      </w:tr>
    </w:tbl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jc w:val="both"/>
      </w:pPr>
    </w:p>
    <w:p w:rsidR="00085022" w:rsidRDefault="000850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5C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085022"/>
    <w:rsid w:val="00006982"/>
    <w:rsid w:val="000156F2"/>
    <w:rsid w:val="00085022"/>
    <w:rsid w:val="002D733B"/>
    <w:rsid w:val="003B6048"/>
    <w:rsid w:val="00474B04"/>
    <w:rsid w:val="005C1637"/>
    <w:rsid w:val="00616777"/>
    <w:rsid w:val="008418C4"/>
    <w:rsid w:val="008D5DA0"/>
    <w:rsid w:val="00990267"/>
    <w:rsid w:val="009A5B44"/>
    <w:rsid w:val="009E28CE"/>
    <w:rsid w:val="00B93046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5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50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869867EFF2D164EB37CA03A29202080C83BE379EEFF0DA24511DD5AD566C9A0C6C18F0AF92580Ef1IAF" TargetMode="External"/><Relationship Id="rId13" Type="http://schemas.openxmlformats.org/officeDocument/2006/relationships/hyperlink" Target="consultantplus://offline/ref=DB869867EFF2D164EB37CA03A29202080F85B93D9DEEF0DA24511DD5ADf5I6F" TargetMode="External"/><Relationship Id="rId18" Type="http://schemas.openxmlformats.org/officeDocument/2006/relationships/hyperlink" Target="consultantplus://offline/ref=DB869867EFF2D164EB37CA03A29202080C80BA3099EAF0DA24511DD5AD566C9A0C6C18F0AF925A0Bf1I3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B869867EFF2D164EB37CA03A29202080F86BE3C92EBF0DA24511DD5AD566C9A0C6C18F0AF925A0Bf1I7F" TargetMode="External"/><Relationship Id="rId12" Type="http://schemas.openxmlformats.org/officeDocument/2006/relationships/hyperlink" Target="consultantplus://offline/ref=DB869867EFF2D164EB37CA03A29202080C80BB3398EEF0DA24511DD5AD566C9A0C6C18F0AF925A0Af1I5F" TargetMode="External"/><Relationship Id="rId17" Type="http://schemas.openxmlformats.org/officeDocument/2006/relationships/hyperlink" Target="consultantplus://offline/ref=DB869867EFF2D164EB37CA03A29202080F88BC329CEDF0DA24511DD5AD566C9A0C6C18F0AF925A0Af1IA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B869867EFF2D164EB37CA03A29202080C86B7349DEAF0DA24511DD5AD566C9A0C6C18F0AF92530Ef1I4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869867EFF2D164EB37CA03A29202080C80BF379BEAF0DA24511DD5AD566C9A0C6C18F0AF925A0Ef1I1F" TargetMode="External"/><Relationship Id="rId11" Type="http://schemas.openxmlformats.org/officeDocument/2006/relationships/hyperlink" Target="consultantplus://offline/ref=DB869867EFF2D164EB37CA03A29202080C80BB3398EEF0DA24511DD5AD566C9A0C6C18F0AF925B0Bf1I5F" TargetMode="External"/><Relationship Id="rId5" Type="http://schemas.openxmlformats.org/officeDocument/2006/relationships/hyperlink" Target="consultantplus://offline/ref=DB869867EFF2D164EB37CA03A29202080C80B73492EAF0DA24511DD5AD566C9A0C6C18F0AF925A0Cf1I2F" TargetMode="External"/><Relationship Id="rId15" Type="http://schemas.openxmlformats.org/officeDocument/2006/relationships/hyperlink" Target="consultantplus://offline/ref=DB869867EFF2D164EB37CA03A29202080C83BE309EEAF0DA24511DD5ADf5I6F" TargetMode="External"/><Relationship Id="rId10" Type="http://schemas.openxmlformats.org/officeDocument/2006/relationships/hyperlink" Target="consultantplus://offline/ref=DB869867EFF2D164EB37CA03A29202080C80BB3398EEF0DA24511DD5AD566C9A0C6C18F0AF925B0Af1I5F" TargetMode="External"/><Relationship Id="rId19" Type="http://schemas.openxmlformats.org/officeDocument/2006/relationships/hyperlink" Target="consultantplus://offline/ref=DB869867EFF2D164EB37CA03A29202080F83B9329EE9F0DA24511DD5AD566C9A0C6C18F0AF925A0Bf1I3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B869867EFF2D164EB37CA03A29202080C80BB3398EEF0DA24511DD5AD566C9A0C6C18F0AF925A0Ef1I4F" TargetMode="External"/><Relationship Id="rId14" Type="http://schemas.openxmlformats.org/officeDocument/2006/relationships/hyperlink" Target="consultantplus://offline/ref=DB869867EFF2D164EB37CA03A29202080C89BC309FECF0DA24511DD5ADf5I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5447</Words>
  <Characters>31054</Characters>
  <Application>Microsoft Office Word</Application>
  <DocSecurity>0</DocSecurity>
  <Lines>258</Lines>
  <Paragraphs>72</Paragraphs>
  <ScaleCrop>false</ScaleCrop>
  <Company/>
  <LinksUpToDate>false</LinksUpToDate>
  <CharactersWithSpaces>36429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2017-12-12T05:08:00Z</dcterms:created>
  <dcterms:modified xsi:type="dcterms:W3CDTF">2017-12-12T05:08:00Z</dcterms:modified>
</cp:coreProperties>
</file>