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декабря 2014 г. N 35263</w:t>
      </w:r>
    </w:p>
    <w:p w:rsidR="00933039" w:rsidRDefault="009330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1505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44.04.01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ПЕДАГОГИЧЕСКОЕ ОБРАЗОВАНИЕ (УРОВЕНЬ МАГИСТРАТУРЫ)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44.04.01 Педагогическое образование (уровень магистратуры).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33039" w:rsidRDefault="00C64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 w:rsidR="00933039">
          <w:rPr>
            <w:rFonts w:ascii="Calibri" w:hAnsi="Calibri" w:cs="Calibri"/>
            <w:color w:val="0000FF"/>
          </w:rPr>
          <w:t>приказ</w:t>
        </w:r>
      </w:hyperlink>
      <w:r w:rsidR="00933039">
        <w:rPr>
          <w:rFonts w:ascii="Calibri" w:hAnsi="Calibri" w:cs="Calibri"/>
        </w:rPr>
        <w:t xml:space="preserve"> Министерства образования и науки Российской Федерации от 14 января 2010 г. N 35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и науки Российской Федерации, утвержденного постановлением Правительства (квалификация (степень) "магистр")" (зарегистрирован Министерством юстиции Российской Федерации 27 февраля 2010 г., регистрационный N 16521);</w:t>
      </w:r>
      <w:proofErr w:type="gramEnd"/>
    </w:p>
    <w:p w:rsidR="00933039" w:rsidRDefault="00C64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933039">
          <w:rPr>
            <w:rFonts w:ascii="Calibri" w:hAnsi="Calibri" w:cs="Calibri"/>
            <w:color w:val="0000FF"/>
          </w:rPr>
          <w:t>пункт 51</w:t>
        </w:r>
      </w:hyperlink>
      <w:r w:rsidR="00933039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1505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44.04.01 ПЕДАГОГИЧЕСКОЕ ОБРАЗОВАНИЕ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44.04.01 Педагогическое образование (далее соответственно - программа магистратуры, направление подготовки).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</w:t>
      </w:r>
      <w:r>
        <w:rPr>
          <w:rFonts w:ascii="Calibri" w:hAnsi="Calibri" w:cs="Calibri"/>
        </w:rPr>
        <w:lastRenderedPageBreak/>
        <w:t>реализуемый за один учебный год, определяется организацией самостоятельно;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 образование, социальную сферу, культуру.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 обучение, воспитание, развитие, просвещение, образовательные системы.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культурно-просветительская.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изучение возможностей, потребностей и </w:t>
      </w:r>
      <w:proofErr w:type="gramStart"/>
      <w:r>
        <w:rPr>
          <w:rFonts w:ascii="Calibri" w:hAnsi="Calibri" w:cs="Calibri"/>
        </w:rPr>
        <w:t>достижений</w:t>
      </w:r>
      <w:proofErr w:type="gramEnd"/>
      <w:r>
        <w:rPr>
          <w:rFonts w:ascii="Calibri" w:hAnsi="Calibri" w:cs="Calibri"/>
        </w:rPr>
        <w:t xml:space="preserve"> обучающихся в зависимости от уровня осваиваемой образовательной программы;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процесса обучения и воспитания в сфере образования с использованием </w:t>
      </w:r>
      <w:r>
        <w:rPr>
          <w:rFonts w:ascii="Calibri" w:hAnsi="Calibri" w:cs="Calibri"/>
        </w:rPr>
        <w:lastRenderedPageBreak/>
        <w:t>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взаимодействия с коллегами, родителями, социальными партнерами, в том числе иностранными;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профессионального самообразования и личностного роста;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образовательных программ и индивидуальных образовательных маршрутов обучающихся;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содержания учебных дисциплин (модулей), форм и методов контроля и контрольно-измерительных материалов;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образовательных сред, обеспечивающих качество образовательного процесса;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дальнейшего образовательного маршрута и профессиональной карьеры;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исследование, организация и оценка реализации результатов методического сопровождения педагогов;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состояния и потенциала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исследование, организация и оценка реализации результатов управленческого процесса с использованием технологий менеджмента, соответствующих общим и специфическим закономерностям развития управляемой системы;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формирование культурных потребностей обучающихся;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культурно-образовательного уровня различных групп населения, разработка стратегии просветительской деятельности;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формировать ресурсно-информационные базы для осуществления практической деятельности в различных сферах (ОК-4);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осуществлять профессиональную коммуникацию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знание современных проблем науки и образования при решении профессиональных задач (ОПК-2);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>
        <w:rPr>
          <w:rFonts w:ascii="Calibri" w:hAnsi="Calibri" w:cs="Calibri"/>
        </w:rPr>
        <w:t>этноконфессиональные</w:t>
      </w:r>
      <w:proofErr w:type="spellEnd"/>
      <w:r>
        <w:rPr>
          <w:rFonts w:ascii="Calibri" w:hAnsi="Calibri" w:cs="Calibri"/>
        </w:rPr>
        <w:t xml:space="preserve"> и культурные различия (ОПК-3);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highlight w:val="yellow"/>
        </w:rPr>
      </w:pPr>
      <w:r w:rsidRPr="00B539DE">
        <w:rPr>
          <w:rFonts w:ascii="Calibri" w:hAnsi="Calibri" w:cs="Calibri"/>
          <w:color w:val="FF0000"/>
          <w:highlight w:val="yellow"/>
        </w:rPr>
        <w:t>педагогическая деятельность:</w:t>
      </w:r>
    </w:p>
    <w:p w:rsidR="00933039" w:rsidRPr="00A4455A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A4455A">
        <w:rPr>
          <w:rFonts w:ascii="Calibri" w:hAnsi="Calibri" w:cs="Calibri"/>
          <w:highlight w:val="yellow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933039" w:rsidRPr="00A4455A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A4455A">
        <w:rPr>
          <w:rFonts w:ascii="Calibri" w:hAnsi="Calibri" w:cs="Calibri"/>
          <w:highlight w:val="yellow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933039" w:rsidRPr="00A4455A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A4455A">
        <w:rPr>
          <w:rFonts w:ascii="Calibri" w:hAnsi="Calibri" w:cs="Calibri"/>
          <w:highlight w:val="yellow"/>
        </w:rPr>
        <w:t xml:space="preserve">способностью руководить исследовательской работой </w:t>
      </w:r>
      <w:proofErr w:type="gramStart"/>
      <w:r w:rsidRPr="00A4455A">
        <w:rPr>
          <w:rFonts w:ascii="Calibri" w:hAnsi="Calibri" w:cs="Calibri"/>
          <w:highlight w:val="yellow"/>
        </w:rPr>
        <w:t>обучающихся</w:t>
      </w:r>
      <w:proofErr w:type="gramEnd"/>
      <w:r w:rsidRPr="00A4455A">
        <w:rPr>
          <w:rFonts w:ascii="Calibri" w:hAnsi="Calibri" w:cs="Calibri"/>
          <w:highlight w:val="yellow"/>
        </w:rPr>
        <w:t xml:space="preserve"> (ПК-3);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455A">
        <w:rPr>
          <w:rFonts w:ascii="Calibri" w:hAnsi="Calibri" w:cs="Calibri"/>
          <w:highlight w:val="yellow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</w:r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539DE">
        <w:rPr>
          <w:rFonts w:ascii="Calibri" w:hAnsi="Calibri" w:cs="Calibri"/>
          <w:color w:val="FF0000"/>
          <w:highlight w:val="yellow"/>
        </w:rPr>
        <w:t>научно-исследовательская деятельность: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51470">
        <w:rPr>
          <w:rFonts w:ascii="Calibri" w:hAnsi="Calibri" w:cs="Calibri"/>
          <w:highlight w:val="yellow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51470">
        <w:rPr>
          <w:rFonts w:ascii="Calibri" w:hAnsi="Calibri" w:cs="Calibri"/>
          <w:highlight w:val="yellow"/>
        </w:rPr>
        <w:t xml:space="preserve">готовностью использовать индивидуальные </w:t>
      </w:r>
      <w:proofErr w:type="spellStart"/>
      <w:r w:rsidRPr="00C51470">
        <w:rPr>
          <w:rFonts w:ascii="Calibri" w:hAnsi="Calibri" w:cs="Calibri"/>
          <w:highlight w:val="yellow"/>
        </w:rPr>
        <w:t>креативные</w:t>
      </w:r>
      <w:proofErr w:type="spellEnd"/>
      <w:r w:rsidRPr="00C51470">
        <w:rPr>
          <w:rFonts w:ascii="Calibri" w:hAnsi="Calibri" w:cs="Calibri"/>
          <w:highlight w:val="yellow"/>
        </w:rPr>
        <w:t xml:space="preserve"> способности для самостоятельного решения исследовательских задач (ПК-6);</w:t>
      </w:r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539DE">
        <w:rPr>
          <w:rFonts w:ascii="Calibri" w:hAnsi="Calibri" w:cs="Calibri"/>
          <w:color w:val="FF0000"/>
        </w:rPr>
        <w:t>проектная деятельность: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1470">
        <w:rPr>
          <w:rFonts w:ascii="Calibri" w:hAnsi="Calibri" w:cs="Calibri"/>
        </w:rPr>
        <w:t>способностью проектировать образовательное пространство, в том числе в условиях инклюзии (ПК-7);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1470">
        <w:rPr>
          <w:rFonts w:ascii="Calibri" w:hAnsi="Calibri" w:cs="Calibri"/>
        </w:rPr>
        <w:t>готовностью к осуществлению педагогического проектирования образовательных программ и индивидуальных образовательных маршрутов (ПК-8);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1470">
        <w:rPr>
          <w:rFonts w:ascii="Calibri" w:hAnsi="Calibri" w:cs="Calibri"/>
        </w:rPr>
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 (ПК-9);</w:t>
      </w: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1470">
        <w:rPr>
          <w:rFonts w:ascii="Calibri" w:hAnsi="Calibri" w:cs="Calibri"/>
        </w:rPr>
        <w:t>готовностью проектировать содержание учебных дисциплин, технологии и конкретные методики обучения (ПК-10);</w:t>
      </w:r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highlight w:val="yellow"/>
        </w:rPr>
      </w:pPr>
      <w:r w:rsidRPr="00B539DE">
        <w:rPr>
          <w:rFonts w:ascii="Calibri" w:hAnsi="Calibri" w:cs="Calibri"/>
          <w:color w:val="FF0000"/>
          <w:highlight w:val="yellow"/>
        </w:rPr>
        <w:t>методическая деятельность:</w:t>
      </w:r>
    </w:p>
    <w:p w:rsidR="00933039" w:rsidRPr="00736D26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736D26">
        <w:rPr>
          <w:rFonts w:ascii="Calibri" w:hAnsi="Calibri" w:cs="Calibri"/>
          <w:highlight w:val="yellow"/>
        </w:rP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6D26">
        <w:rPr>
          <w:rFonts w:ascii="Calibri" w:hAnsi="Calibri" w:cs="Calibri"/>
          <w:highlight w:val="yellow"/>
        </w:rPr>
        <w:t>готовностью к систематизации, обобщению и распространению отечественного и зарубежного методического опыта в профессиональной области (ПК-12);</w:t>
      </w:r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539DE">
        <w:rPr>
          <w:rFonts w:ascii="Calibri" w:hAnsi="Calibri" w:cs="Calibri"/>
          <w:color w:val="FF0000"/>
        </w:rPr>
        <w:t>управленческая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изучать состояние и потенциал управляемой системы и ее макро- и </w:t>
      </w:r>
      <w:r>
        <w:rPr>
          <w:rFonts w:ascii="Calibri" w:hAnsi="Calibri" w:cs="Calibri"/>
        </w:rPr>
        <w:lastRenderedPageBreak/>
        <w:t>микроокружения путем использования комплекса методов стратегического и оперативного анализа (ПК-13);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</w:r>
    </w:p>
    <w:p w:rsidR="00933039" w:rsidRPr="00B539DE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539DE">
        <w:rPr>
          <w:rFonts w:ascii="Calibri" w:hAnsi="Calibri" w:cs="Calibri"/>
          <w:color w:val="FF0000"/>
        </w:rPr>
        <w:t>культурно-просветительская деятельность: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изучать и формировать культурные потребности и повышать культурно-образовательный уровень различных групп населения (ПК-17);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разрабатывать стратегии культурно-просветительской деятельности (ПК-18);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и реализовывать просветительские программы в целях популяризации научных знаний и культурных традиций (ПК-19);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 (ПК-20);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формировать художественно-культурную среду (ПК-21).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ориентации программы магистратуры на конкретные области знания и (или) вид (виды) деятельности.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8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8"/>
      <w:bookmarkEnd w:id="9"/>
    </w:p>
    <w:p w:rsidR="00933039" w:rsidRPr="00C51470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программы магистратуры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1"/>
        <w:gridCol w:w="6096"/>
        <w:gridCol w:w="1757"/>
      </w:tblGrid>
      <w:tr w:rsidR="00933039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933039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74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57 - 66</w:t>
            </w:r>
          </w:p>
        </w:tc>
      </w:tr>
      <w:tr w:rsidR="00933039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9 - 18</w:t>
            </w:r>
          </w:p>
        </w:tc>
      </w:tr>
      <w:tr w:rsidR="00933039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933039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81"/>
            <w:bookmarkEnd w:id="11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45 - 57</w:t>
            </w:r>
          </w:p>
        </w:tc>
      </w:tr>
      <w:tr w:rsidR="00933039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45 - 57</w:t>
            </w:r>
          </w:p>
        </w:tc>
      </w:tr>
      <w:tr w:rsidR="0093303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86"/>
            <w:bookmarkEnd w:id="12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33039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039" w:rsidRDefault="009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74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и </w:t>
      </w:r>
      <w:hyperlink w:anchor="Par181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181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входит производственная, в том числе преддипломная, практика.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и (или) производственная практики могут проводиться в структурных </w:t>
      </w:r>
      <w:r>
        <w:rPr>
          <w:rFonts w:ascii="Calibri" w:hAnsi="Calibri" w:cs="Calibri"/>
        </w:rPr>
        <w:lastRenderedPageBreak/>
        <w:t>подразделениях организации.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186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174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Количество часов, отведенных на занятия лекционного типа, в целом по </w:t>
      </w:r>
      <w:hyperlink w:anchor="Par174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08"/>
      <w:bookmarkEnd w:id="13"/>
      <w:r>
        <w:rPr>
          <w:rFonts w:ascii="Calibri" w:hAnsi="Calibri" w:cs="Calibri"/>
        </w:rPr>
        <w:t>VII. ТРЕБОВАНИЯ К УСЛОВИЯМ РЕАЛИЗАЦИИ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1"/>
      <w:bookmarkEnd w:id="14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</w:t>
      </w:r>
      <w:r>
        <w:rPr>
          <w:rFonts w:ascii="Calibri" w:hAnsi="Calibri" w:cs="Calibri"/>
        </w:rPr>
        <w:lastRenderedPageBreak/>
        <w:t>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 не менее 20 в журналах, индексируемых в Российском индексе научного цитирования.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33"/>
      <w:bookmarkEnd w:id="15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программы академической магистратуры;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65 процентов для программы прикладной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для программы академической магистратуры;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прикладной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4"/>
      <w:bookmarkEnd w:id="16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</w:t>
      </w:r>
      <w:r>
        <w:rPr>
          <w:rFonts w:ascii="Calibri" w:hAnsi="Calibri" w:cs="Calibri"/>
        </w:rPr>
        <w:lastRenderedPageBreak/>
        <w:t>25 процентов обучающихся по программе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56"/>
      <w:bookmarkEnd w:id="17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039" w:rsidRDefault="009330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0458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039"/>
    <w:rsid w:val="0004584C"/>
    <w:rsid w:val="00092ABD"/>
    <w:rsid w:val="003B6048"/>
    <w:rsid w:val="00474B04"/>
    <w:rsid w:val="005023AF"/>
    <w:rsid w:val="006E1534"/>
    <w:rsid w:val="00736D26"/>
    <w:rsid w:val="008418C4"/>
    <w:rsid w:val="00933039"/>
    <w:rsid w:val="00A4455A"/>
    <w:rsid w:val="00B539DE"/>
    <w:rsid w:val="00C51470"/>
    <w:rsid w:val="00C646FC"/>
    <w:rsid w:val="00DC41E0"/>
    <w:rsid w:val="00ED4DB6"/>
    <w:rsid w:val="00F1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F517C25BF9B572EB3C37F5CFBB97419244713348DE0B156BC914ABC99602FA2B6DCCD5C160BEC80CE" TargetMode="External"/><Relationship Id="rId13" Type="http://schemas.openxmlformats.org/officeDocument/2006/relationships/hyperlink" Target="consultantplus://offline/ref=08CAF517C25BF9B572EB3C37F5CFBB97419044723648DE0B156BC914ABC99602FA2B6DCCD5C061BBC809E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AF517C25BF9B572EB3C37F5CFBB97419442753646DE0B156BC914ABCC09E" TargetMode="External"/><Relationship Id="rId12" Type="http://schemas.openxmlformats.org/officeDocument/2006/relationships/hyperlink" Target="consultantplus://offline/ref=08CAF517C25BF9B572EB3C37F5CFBB97419446733146DE0B156BC914ABC99602FA2B6DCCD5C061BBC80FE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AF517C25BF9B572EB3C37F5CFBB9741934C713047DE0B156BC914ABC99602FA2B6DCCD5C061BEC80DE" TargetMode="External"/><Relationship Id="rId11" Type="http://schemas.openxmlformats.org/officeDocument/2006/relationships/hyperlink" Target="consultantplus://offline/ref=08CAF517C25BF9B572EB3C37F5CFBB97419342773541DE0B156BC914ABCC09E" TargetMode="External"/><Relationship Id="rId5" Type="http://schemas.openxmlformats.org/officeDocument/2006/relationships/hyperlink" Target="consultantplus://offline/ref=08CAF517C25BF9B572EB3C37F5CFBB97419341753449DE0B156BC914ABC99602FA2B6DCCD5C061BCC80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CAF517C25BF9B572EB3C37F5CFBB974193417E3741DE0B156BC914ABCC09E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CAF517C25BF9B572EB3C37F5CFBB97419341753449DE0B156BC914ABC99602FA2B6DCCD5C061B8C80EE" TargetMode="External"/><Relationship Id="rId14" Type="http://schemas.openxmlformats.org/officeDocument/2006/relationships/hyperlink" Target="consultantplus://offline/ref=08CAF517C25BF9B572EB3C37F5CFBB97419046763040DE0B156BC914ABC99602FA2B6DCCD5C061BBC8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0AB0A9C-133B-4469-B456-07D9527FF584}"/>
</file>

<file path=customXml/itemProps2.xml><?xml version="1.0" encoding="utf-8"?>
<ds:datastoreItem xmlns:ds="http://schemas.openxmlformats.org/officeDocument/2006/customXml" ds:itemID="{D68D7E1E-7FF4-45B6-96C3-D4BD59EF89AA}"/>
</file>

<file path=customXml/itemProps3.xml><?xml version="1.0" encoding="utf-8"?>
<ds:datastoreItem xmlns:ds="http://schemas.openxmlformats.org/officeDocument/2006/customXml" ds:itemID="{B3F9C255-7E6F-41F8-B886-4C1A84FE6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9</cp:revision>
  <dcterms:created xsi:type="dcterms:W3CDTF">2015-02-04T04:52:00Z</dcterms:created>
  <dcterms:modified xsi:type="dcterms:W3CDTF">2017-02-22T03:36:00Z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