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16 декабря 2014 г. N 35187</w:t>
      </w:r>
    </w:p>
    <w:p w:rsidR="00BF2360" w:rsidRDefault="00BF236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ноября 2014 г. N 1491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 ПО НАПРАВЛЕНИЮ ПОДГОТОВКИ 15.04.06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МЕХАТРОНИКА И РОБОТОТЕХНИКА (УРОВЕНЬ МАГИСТРАТУРЫ)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подпунктом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27, ст. 3776), и </w:t>
      </w:r>
      <w:hyperlink r:id="rId6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5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высшего образования по направлению подготовки 15.04.06 </w:t>
      </w:r>
      <w:proofErr w:type="spellStart"/>
      <w:r>
        <w:rPr>
          <w:rFonts w:ascii="Calibri" w:hAnsi="Calibri" w:cs="Calibri"/>
        </w:rPr>
        <w:t>Мехатроника</w:t>
      </w:r>
      <w:proofErr w:type="spellEnd"/>
      <w:r>
        <w:rPr>
          <w:rFonts w:ascii="Calibri" w:hAnsi="Calibri" w:cs="Calibri"/>
        </w:rPr>
        <w:t xml:space="preserve"> и робототехника (уровень магистратуры).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8 декабря 2009 г. N 702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221000 </w:t>
      </w:r>
      <w:proofErr w:type="spellStart"/>
      <w:r>
        <w:rPr>
          <w:rFonts w:ascii="Calibri" w:hAnsi="Calibri" w:cs="Calibri"/>
        </w:rPr>
        <w:t>Мехатроника</w:t>
      </w:r>
      <w:proofErr w:type="spellEnd"/>
      <w:r>
        <w:rPr>
          <w:rFonts w:ascii="Calibri" w:hAnsi="Calibri" w:cs="Calibri"/>
        </w:rPr>
        <w:t xml:space="preserve"> и робототехника (квалификация (степень) "магистр")" (зарегистрирован Министерством юстиции Российской Федерации 8 февраля 2010 г., регистрационный N 16296);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пункт 48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18 мая 2011 г. N 1657 (зарегистрирован Министерством юстиции Российской Федерации 1 июня 2011 г., регистрационный N 20902);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136</w:t>
        </w:r>
      </w:hyperlink>
      <w:r>
        <w:rPr>
          <w:rFonts w:ascii="Calibri" w:hAnsi="Calibri" w:cs="Calibri"/>
        </w:rP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t>Приложение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Утвержден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ноября 2014 г. N 1491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ВЫСШЕГО ОБРАЗОВАНИЯ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УРОВЕНЬ ВЫСШЕГО ОБРАЗОВАНИЯ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МАГИСТРАТУРА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НАПРАВЛЕНИЕ ПОДГОТОВКИ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15.04.06 МЕХАТРОНИКА И РОБОТОТЕХНИКА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44"/>
      <w:bookmarkEnd w:id="3"/>
      <w:r>
        <w:rPr>
          <w:rFonts w:ascii="Calibri" w:hAnsi="Calibri" w:cs="Calibri"/>
        </w:rPr>
        <w:t>I. ОБЛАСТЬ ПРИМЕНЕНИЯ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15.04.06 </w:t>
      </w:r>
      <w:proofErr w:type="spellStart"/>
      <w:r>
        <w:rPr>
          <w:rFonts w:ascii="Calibri" w:hAnsi="Calibri" w:cs="Calibri"/>
        </w:rPr>
        <w:t>Мехатроника</w:t>
      </w:r>
      <w:proofErr w:type="spellEnd"/>
      <w:r>
        <w:rPr>
          <w:rFonts w:ascii="Calibri" w:hAnsi="Calibri" w:cs="Calibri"/>
        </w:rPr>
        <w:t xml:space="preserve"> и робототехника (далее соответственно - программа магистратуры, направление подготовки).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II. ИСПОЛЬЗУЕМЫЕ СОКРАЩЕНИЯ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федеральном государственном образовательном стандарте используются следующие сокращения: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 - общекультурные компетенции;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ОПК -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профессиональные компетенции;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 xml:space="preserve"> - федеральный государственный образовательный стандарт высшего образования;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сетевая форма - сетевая форма реализации образовательных программ.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7"/>
      <w:bookmarkEnd w:id="5"/>
      <w:r>
        <w:rPr>
          <w:rFonts w:ascii="Calibri" w:hAnsi="Calibri" w:cs="Calibri"/>
        </w:rPr>
        <w:t>III. ХАРАКТЕРИСТИКА НАПРАВЛЕНИЯ ПОДГОТОВКИ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proofErr w:type="gramStart"/>
      <w:r>
        <w:rPr>
          <w:rFonts w:ascii="Calibri" w:hAnsi="Calibri" w:cs="Calibri"/>
        </w:rPr>
        <w:t xml:space="preserve">Обучение по программе магистратуры в организации осуществляется в очной и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формах обучения.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Объем программы магистратуры составляет 120 зачетных единиц (далее -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Срок получения образования по программе магистратуры: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форме обучения вне зависимости от применяемых образовательных технологий увеличивается не менее чем на 3 месяца и не более чем на полгода (по усмотрению организации), по сравнению со сроком получения образования по очной форме обучения. Объем программы магистратуры в </w:t>
      </w:r>
      <w:proofErr w:type="spellStart"/>
      <w:r>
        <w:rPr>
          <w:rFonts w:ascii="Calibri" w:hAnsi="Calibri" w:cs="Calibri"/>
        </w:rPr>
        <w:t>очно-заочной</w:t>
      </w:r>
      <w:proofErr w:type="spellEnd"/>
      <w:r>
        <w:rPr>
          <w:rFonts w:ascii="Calibri" w:hAnsi="Calibri" w:cs="Calibri"/>
        </w:rPr>
        <w:t xml:space="preserve"> форме обучения, реализуемый за один учебный год, определяется организацией самостоятельно;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</w:t>
      </w:r>
      <w:r>
        <w:rPr>
          <w:rFonts w:ascii="Calibri" w:hAnsi="Calibri" w:cs="Calibri"/>
        </w:rPr>
        <w:lastRenderedPageBreak/>
        <w:t xml:space="preserve">установленного для соответствующей формы обучения. При </w:t>
      </w:r>
      <w:proofErr w:type="gramStart"/>
      <w:r>
        <w:rPr>
          <w:rFonts w:ascii="Calibri" w:hAnsi="Calibri" w:cs="Calibri"/>
        </w:rPr>
        <w:t>обучении</w:t>
      </w:r>
      <w:proofErr w:type="gramEnd"/>
      <w:r>
        <w:rPr>
          <w:rFonts w:ascii="Calibri" w:hAnsi="Calibri" w:cs="Calibri"/>
        </w:rPr>
        <w:t xml:space="preserve"> по индивидуальному учебному плану лиц с ограниченными возможностями здоровья организация вправе продлить срок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rPr>
          <w:rFonts w:ascii="Calibri" w:hAnsi="Calibri" w:cs="Calibri"/>
        </w:rPr>
        <w:t>за один учебный год при обучении по индивидуальному учебному плану вне зависимости от формы</w:t>
      </w:r>
      <w:proofErr w:type="gramEnd"/>
      <w:r>
        <w:rPr>
          <w:rFonts w:ascii="Calibri" w:hAnsi="Calibri" w:cs="Calibri"/>
        </w:rPr>
        <w:t xml:space="preserve"> обучения не может составлять более 75 </w:t>
      </w:r>
      <w:proofErr w:type="spellStart"/>
      <w:r>
        <w:rPr>
          <w:rFonts w:ascii="Calibri" w:hAnsi="Calibri" w:cs="Calibri"/>
        </w:rPr>
        <w:t>з.е</w:t>
      </w:r>
      <w:proofErr w:type="spellEnd"/>
      <w:r>
        <w:rPr>
          <w:rFonts w:ascii="Calibri" w:hAnsi="Calibri" w:cs="Calibri"/>
        </w:rPr>
        <w:t>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Реализация программы магистратуры возможна с использованием сетевой формы.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>IV. ХАРАКТЕРИСТИКА ПРОФЕССИОНАЛЬНОЙ ДЕЯТЕЛЬНОСТИ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ВЫПУСКНИКОВ, ОСВОИВШИХ ПРОГРАММУ МАГИСТРАТУРЫ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Область профессиональной деятельности выпускников, освоивших программу магистратуры, включает разработку новых методов управления, обработки информации и поиск новых конструктивных решений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широкого назначения, их подсистем и отдельных модулей, проведение исследований в области </w:t>
      </w:r>
      <w:proofErr w:type="spellStart"/>
      <w:r>
        <w:rPr>
          <w:rFonts w:ascii="Calibri" w:hAnsi="Calibri" w:cs="Calibri"/>
        </w:rPr>
        <w:t>мехатроники</w:t>
      </w:r>
      <w:proofErr w:type="spellEnd"/>
      <w:r>
        <w:rPr>
          <w:rFonts w:ascii="Calibri" w:hAnsi="Calibri" w:cs="Calibri"/>
        </w:rPr>
        <w:t>, робототехники, теории управления и методов искусственного интеллекта.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выпускников, освоивших программу магистратуры, являются: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мехатронные</w:t>
      </w:r>
      <w:proofErr w:type="spellEnd"/>
      <w:r>
        <w:rPr>
          <w:rFonts w:ascii="Calibri" w:hAnsi="Calibri" w:cs="Calibri"/>
        </w:rPr>
        <w:t xml:space="preserve"> и робототехнические системы, включающие информационно-сенсорные, исполнительные и управляющие модули, их математическое, алгоритмическое и программное обеспечение, методы и средства их проектирования, моделирования, экспериментального исследования и проектирования;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теоретических и экспериментальных исследований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Виды профессиональной деятельности, к которым готовятся выпускники, освоившие программу магистратуры: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>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анализ научно-технической информации, отечественного и зарубежного опыта в области разработки и исследования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изучение новых методов теории автоматического управления, искусственного интеллекта и других научных направлений, составляющих теоретическую базу </w:t>
      </w:r>
      <w:proofErr w:type="spellStart"/>
      <w:r>
        <w:rPr>
          <w:rFonts w:ascii="Calibri" w:hAnsi="Calibri" w:cs="Calibri"/>
        </w:rPr>
        <w:t>мехатроники</w:t>
      </w:r>
      <w:proofErr w:type="spellEnd"/>
      <w:r>
        <w:rPr>
          <w:rFonts w:ascii="Calibri" w:hAnsi="Calibri" w:cs="Calibri"/>
        </w:rPr>
        <w:t xml:space="preserve"> и робототехники, составление и публикация обзоров и рефератов;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теоретических и экспериментальных исследований в области разработки новых образцов и совершенствования существующих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их модулей и подсистем, поиск новых способов управления и обработки информации с применением методов искусственного интеллекта, нечеткой логики, методов </w:t>
      </w:r>
      <w:proofErr w:type="spellStart"/>
      <w:r>
        <w:rPr>
          <w:rFonts w:ascii="Calibri" w:hAnsi="Calibri" w:cs="Calibri"/>
        </w:rPr>
        <w:t>мультиагентного</w:t>
      </w:r>
      <w:proofErr w:type="spellEnd"/>
      <w:r>
        <w:rPr>
          <w:rFonts w:ascii="Calibri" w:hAnsi="Calibri" w:cs="Calibri"/>
        </w:rPr>
        <w:t xml:space="preserve"> управления, искусственных нейронных и </w:t>
      </w:r>
      <w:proofErr w:type="spellStart"/>
      <w:r>
        <w:rPr>
          <w:rFonts w:ascii="Calibri" w:hAnsi="Calibri" w:cs="Calibri"/>
        </w:rPr>
        <w:t>нейро-нечетких</w:t>
      </w:r>
      <w:proofErr w:type="spellEnd"/>
      <w:r>
        <w:rPr>
          <w:rFonts w:ascii="Calibri" w:hAnsi="Calibri" w:cs="Calibri"/>
        </w:rPr>
        <w:t xml:space="preserve"> сетей;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патентных исследований, сопровождающих разработку новых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с целью защиты объектов интеллектуальной собственности, полученных результатов исследований и разработок;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экспериментальных образцов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их модулей и подсистем с целью проверки и обоснования основных теоретических и технических решений, подлежащих включению в техническое задание на выполнение опытно-конструкторских работ;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и проведение экспериментов на действующих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системах, их подсистемах и отдельных модулях с целью определения их эффективности и определения путей совершенствования, обработка результатов экспериментальных исследований с применением современных информационных технологий;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подготовка отчетов, научных публикаций и докладов на научных конференциях и семинарах, участие во внедрении результатов исследований и разработок в практику;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подготовка технико-экономического обоснования проектов новых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их отдельных подсистем и модулей;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расчет и проведение исследований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управляющих, информационно-сенсорных и исполнительных подсистем с использованием методов математического моделирования, проведение макетирования и испытаний действующих систем, обработка экспериментальных данных с применением современных информационных технологий;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разработка специального программного обеспечения для решения задач проектирования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разработка технического задания и непосредственное участие в конструировании механических 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модулей, проектировании устройств и систем управления и обработки информации;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разработка организационно-технической документации (графиков работ, инструкций, планов, смет) и установленной отчетности по утвержденным формам;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малых групп исполнителей, участвующих в исследовательских, проектно-конструкторских работах и в проведении экспериментальных исследований;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мероприятий по профилактике производственного травматизма, профессиональных заболеваний, предотвращению экологических нарушений в процессе исследования и эксплуатации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поверке, наладке, регулировке, оценке состояния оборудования и настройке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назначения, включая как технические средства, так и программные управляющие комплексы;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сопряжении программно-аппаратных комплексов с техническими объектами в составе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в проведении испытаний и сдаче в эксплуатацию опытных образцов таких систем;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 xml:space="preserve">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участие в поверке, наладке, регулировке и оценке состояния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назначения, а также их отдельных подсистем, в настройке управляющих аппаратно-программных комплексов;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профилактический контроль технического состояния и функциональная диагностика </w:t>
      </w:r>
      <w:proofErr w:type="spellStart"/>
      <w:r>
        <w:rPr>
          <w:rFonts w:ascii="Calibri" w:hAnsi="Calibri" w:cs="Calibri"/>
        </w:rPr>
        <w:lastRenderedPageBreak/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назначения, а также их отдельных подсистем;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составление инструкций по эксплуатации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и их аппаратно-программных средств, разработка программ регламентных испытаний;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заявок на оборудование и комплектующие, подготовка технической документации на ремонт оборудования.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13"/>
      <w:bookmarkEnd w:id="7"/>
      <w:r>
        <w:rPr>
          <w:rFonts w:ascii="Calibri" w:hAnsi="Calibri" w:cs="Calibri"/>
        </w:rPr>
        <w:t>V. ТРЕБОВАНИЯ К РЕЗУЛЬТАТАМ ОСВОЕНИЯ ПРОГРАММЫ МАГИСТРАТУРЫ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В результате освоения программы магистратуры у выпускника должны быть сформированы общекультурные, </w:t>
      </w:r>
      <w:proofErr w:type="spellStart"/>
      <w:r>
        <w:rPr>
          <w:rFonts w:ascii="Calibri" w:hAnsi="Calibri" w:cs="Calibri"/>
        </w:rPr>
        <w:t>общепрофессиональные</w:t>
      </w:r>
      <w:proofErr w:type="spellEnd"/>
      <w:r>
        <w:rPr>
          <w:rFonts w:ascii="Calibri" w:hAnsi="Calibri" w:cs="Calibri"/>
        </w:rPr>
        <w:t xml:space="preserve"> и профессиональные компетенции.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программу магистратуры, должен обладать следующими общекультурными компетенциями: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совершенствовать и развивать свой интеллектуальный и общекультурный уровень (ОК-1);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к самостоятельному обучению с помощью современных информационных технологий новым методам исследования, к постоянному обновлению и расширению своих знаний, к изменению в случае необходимости научного и научно-производственного профиля своей профессиональной деятельности (ОК-2);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в практической деятельности новые знания и умения, как относящиеся к своему научному направлению, так и, в новых областях знаний, непосредственно не связанных с профессиональной сферой деятельности (ОК-3);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использовать на практике приобретенные умения и навыки в организации исследовательских и проектных работ, выполняемых малыми группами исполнителей (ОК-4).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Выпускник, освоивший программу магистратуры, должен обладать следующими </w:t>
      </w:r>
      <w:proofErr w:type="spellStart"/>
      <w:r>
        <w:rPr>
          <w:rFonts w:ascii="Calibri" w:hAnsi="Calibri" w:cs="Calibri"/>
        </w:rPr>
        <w:t>общепрофессиональными</w:t>
      </w:r>
      <w:proofErr w:type="spellEnd"/>
      <w:r>
        <w:rPr>
          <w:rFonts w:ascii="Calibri" w:hAnsi="Calibri" w:cs="Calibri"/>
        </w:rPr>
        <w:t xml:space="preserve"> компетенциями: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представлять адекватную современному уровню знаний научную картину мира на основе знания основных положений, законов и методов естественных наук и математики (ОПК-1);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в полной мере основным физико-математическим аппаратом, необходимым для описания и исследования разрабатываемых систем и устройств (ОПК-2);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владением современными информационными технологиями, готовностью применять современные и специализированные средства автоматизированного проектирования и машинной графики при проектировании систем и их отдельных модулей, знать и соблюдать основные требования информационной безопасности (ОПК-3);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собирать, обрабатывать, анализировать и систематизировать научно-техническую информацию по тематике исследования, использовать достижения отечественной и зарубежной науки, техники и технологии в своей профессиональной деятельности (ОПК-4);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использовать методы современной экономической теории при оценке эффективности разрабатываемых и исследуемых систем и устройств, а также результатов своей профессиональной деятельности (ОПК-5);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(ОПК-6).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</w:t>
      </w:r>
      <w:proofErr w:type="gramStart"/>
      <w:r>
        <w:rPr>
          <w:rFonts w:ascii="Calibri" w:hAnsi="Calibri" w:cs="Calibri"/>
        </w:rP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составлять математические модели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их подсистем, включая исполнительные, информационно-сенсорные и управляющие модули, с применением методов формальной логики, методов конечных автоматов, сетей Петри, методов искусственного интеллекта, нечеткой логики, генетических алгоритмов, искусственных нейронных и </w:t>
      </w:r>
      <w:proofErr w:type="spellStart"/>
      <w:r>
        <w:rPr>
          <w:rFonts w:ascii="Calibri" w:hAnsi="Calibri" w:cs="Calibri"/>
        </w:rPr>
        <w:t>нейро-нечетких</w:t>
      </w:r>
      <w:proofErr w:type="spellEnd"/>
      <w:r>
        <w:rPr>
          <w:rFonts w:ascii="Calibri" w:hAnsi="Calibri" w:cs="Calibri"/>
        </w:rPr>
        <w:t xml:space="preserve"> сетей (ПК-1);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использовать имеющиеся программные пакеты и, при необходимости, разрабатывать новое программное обеспечение, необходимое для обработки информации и управления в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системах, а также для их проектирования (ПК-2);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способностью разрабатывать экспериментальные макеты управляющих, информационных и исполнительных модулей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и проводить их исследование с применением современных информационных технологий (ПК-3);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осуществлять анализ научно-технической информации, обобщать отечественный и зарубежный опыт в области </w:t>
      </w:r>
      <w:proofErr w:type="spellStart"/>
      <w:r>
        <w:rPr>
          <w:rFonts w:ascii="Calibri" w:hAnsi="Calibri" w:cs="Calibri"/>
        </w:rPr>
        <w:t>мехатроники</w:t>
      </w:r>
      <w:proofErr w:type="spellEnd"/>
      <w:r>
        <w:rPr>
          <w:rFonts w:ascii="Calibri" w:hAnsi="Calibri" w:cs="Calibri"/>
        </w:rPr>
        <w:t xml:space="preserve"> и робототехники, средств автоматизации и управления, проводить патентный поиск (ПК-4);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разрабатывать методики проведения экспериментов и проводить эксперименты на действующих макетах и образцах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и их подсистем, обрабатывать результаты с применением современных информационных технологий и технических средств (ПК-5);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составлению аналитических обзоров и научно-технических отчетов по результатам выполненной работы, в подготовке публикаций по результатам исследований и разработок (ПК-6);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внедрять на практике результаты исследований и разработок, выполненных индивидуально и в составе группы исполнителей, обеспечивать защиту прав на объекты интеллектуальной собственности (ПК-7);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проектно-конструкторская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к руководству и участию в подготовке технико-экономического обоснования проектов создания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систем, их подсистем и отдельных модулей (ПК-8);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к подготовке технического задания на проектирование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их подсистем и отдельных устройств с использованием стандартных исполнительных и управляющих устройств, средств автоматики, измерительной и вычислительной техники, а также новых устройств и подсистем (ПК-9);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участвовать в разработке конструкторской и проектной документации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в соответствии с имеющимися стандартами и техническими условиями (ПК-10);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разрабатывать методику проведения экспериментальных исследований и испытаний </w:t>
      </w:r>
      <w:proofErr w:type="spellStart"/>
      <w:r>
        <w:rPr>
          <w:rFonts w:ascii="Calibri" w:hAnsi="Calibri" w:cs="Calibri"/>
        </w:rPr>
        <w:t>мехатронной</w:t>
      </w:r>
      <w:proofErr w:type="spellEnd"/>
      <w:r>
        <w:rPr>
          <w:rFonts w:ascii="Calibri" w:hAnsi="Calibri" w:cs="Calibri"/>
        </w:rPr>
        <w:t xml:space="preserve"> или робототехнической системы, способностью участвовать в проведении таких испытаний и обработке их результатов (ПК-11);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организационно-управленческая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способностью организовывать работу малых групп исполнителей (ПК-12);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разрабатывать техническую документацию (графики работ, инструкции, планы, сметы) по утвержденным формам (ПК-13);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применять методы профилактики производственного травматизма, профессиональных заболеваний, предотвращения экологических нарушений (ПК-14);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монтажно-наладочная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проводить наладку, регулировку и настройку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 (ПК-15);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выполнять отладку программно-аппаратных комплексов и их сопряжение с техническими объектами в составе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(ПК-16);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к участию в проведении испытаний и сдаче в эксплуатацию опытных образцов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(ПК-17);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сервисно-эксплуатационная</w:t>
      </w:r>
      <w:proofErr w:type="spellEnd"/>
      <w:r>
        <w:rPr>
          <w:rFonts w:ascii="Calibri" w:hAnsi="Calibri" w:cs="Calibri"/>
        </w:rPr>
        <w:t xml:space="preserve"> деятельность: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готовностью к участию в разработке программ регламентных испытаний, поверке и оценке состояния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назначения, а также их отдельных подсистем (ПК-18);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провести профилактический контроль технического состояния и функциональную диагностику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различного назначения, а также их отдельных подсистем (ПК-19);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способностью составить инструкции по эксплуатации </w:t>
      </w:r>
      <w:proofErr w:type="spellStart"/>
      <w:r>
        <w:rPr>
          <w:rFonts w:ascii="Calibri" w:hAnsi="Calibri" w:cs="Calibri"/>
        </w:rPr>
        <w:t>мехатронных</w:t>
      </w:r>
      <w:proofErr w:type="spellEnd"/>
      <w:r>
        <w:rPr>
          <w:rFonts w:ascii="Calibri" w:hAnsi="Calibri" w:cs="Calibri"/>
        </w:rPr>
        <w:t xml:space="preserve"> и робототехнических систем и их аппаратно-программных средств (ПК-20);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готовностью к составлению заявок на оборудование и комплектующие, к участию в подготовке технической документации на ремонт оборудования (ПК-21).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5.5. При разработке программы магистратуры все общекультурные и </w:t>
      </w:r>
      <w:proofErr w:type="spellStart"/>
      <w:r>
        <w:rPr>
          <w:rFonts w:ascii="Calibri" w:hAnsi="Calibri" w:cs="Calibri"/>
        </w:rPr>
        <w:lastRenderedPageBreak/>
        <w:t>общепрофессиональные</w:t>
      </w:r>
      <w:proofErr w:type="spellEnd"/>
      <w:r>
        <w:rPr>
          <w:rFonts w:ascii="Calibri" w:hAnsi="Calibri" w:cs="Calibri"/>
        </w:rPr>
        <w:t xml:space="preserve">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При разработке программы магистратуры требования к результатам </w:t>
      </w:r>
      <w:proofErr w:type="gramStart"/>
      <w:r>
        <w:rPr>
          <w:rFonts w:ascii="Calibri" w:hAnsi="Calibri" w:cs="Calibri"/>
        </w:rPr>
        <w:t>обучения по</w:t>
      </w:r>
      <w:proofErr w:type="gramEnd"/>
      <w:r>
        <w:rPr>
          <w:rFonts w:ascii="Calibri" w:hAnsi="Calibri" w:cs="Calibri"/>
        </w:rP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59"/>
      <w:bookmarkEnd w:id="8"/>
      <w:r>
        <w:rPr>
          <w:rFonts w:ascii="Calibri" w:hAnsi="Calibri" w:cs="Calibri"/>
        </w:rPr>
        <w:t>VI. ТРЕБОВАНИЯ К СТРУКТУРЕ ПРОГРАММЫ МАГИСТРАТУРЫ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Программа магистратуры состоит из следующих блоков: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1 "Дисциплины (модули)", который включает дисциплины (модули), относящиеся к базовой части, программы и дисциплины (модули), относящиеся к ее вариативной части.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2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0" w:history="1">
        <w:r>
          <w:rPr>
            <w:rFonts w:ascii="Calibri" w:hAnsi="Calibri" w:cs="Calibri"/>
            <w:color w:val="0000FF"/>
          </w:rPr>
          <w:t>Подпункт 5.2.1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69"/>
      <w:bookmarkEnd w:id="9"/>
      <w:r>
        <w:rPr>
          <w:rFonts w:ascii="Calibri" w:hAnsi="Calibri" w:cs="Calibri"/>
        </w:rPr>
        <w:t>Структура программы магистратуры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63"/>
        <w:gridCol w:w="5514"/>
        <w:gridCol w:w="2462"/>
      </w:tblGrid>
      <w:tr w:rsidR="00BF2360"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Структура программы магистратуры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 в зачетных единицах</w:t>
            </w:r>
          </w:p>
        </w:tc>
      </w:tr>
      <w:tr w:rsidR="00BF2360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1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Дисциплины (модули)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54 - 60</w:t>
            </w:r>
          </w:p>
        </w:tc>
      </w:tr>
      <w:tr w:rsidR="00BF2360"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Базовая часть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12 - 24</w:t>
            </w:r>
          </w:p>
        </w:tc>
      </w:tr>
      <w:tr w:rsidR="00BF2360"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36 - 42</w:t>
            </w:r>
          </w:p>
        </w:tc>
      </w:tr>
      <w:tr w:rsidR="00BF2360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2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Практики, в том числе научно-исследовательская работа (НИР)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51 - 60</w:t>
            </w:r>
          </w:p>
        </w:tc>
      </w:tr>
      <w:tr w:rsidR="00BF2360"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51 - 60</w:t>
            </w:r>
          </w:p>
        </w:tc>
      </w:tr>
      <w:tr w:rsidR="00BF2360"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 3</w:t>
            </w:r>
          </w:p>
        </w:tc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6 - 9</w:t>
            </w:r>
          </w:p>
        </w:tc>
      </w:tr>
      <w:tr w:rsidR="00BF2360">
        <w:tc>
          <w:tcPr>
            <w:tcW w:w="7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программы магистратуры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360" w:rsidRDefault="00BF2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</w:tc>
      </w:tr>
    </w:tbl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BF2360" w:rsidRP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6.3. </w:t>
      </w:r>
      <w:proofErr w:type="gramStart"/>
      <w:r>
        <w:rPr>
          <w:rFonts w:ascii="Calibri" w:hAnsi="Calibri" w:cs="Calibri"/>
        </w:rP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6.4. Дисциплины (модули), относящиеся к вариативной части программы магистратуры, практики (в том числе НИР), определяют направленность (профиль) программы. Набор дисциплин (модулей) и практик (в том числе НИР), относящихся к вариативной части Блока 1 "Дисциплины (модули)" и Блока 2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В Блок 2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учебной практики: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первичных профессиональных умений и навыков.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Типы производственной практики: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практика по получению профессиональных умений и опыта профессиональной деятельности;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НИР.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Способы проведения учебной и производственной практик: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стационарная;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выездная.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Преддипломная практика проводится для выполнения выпускной квалификационной работы и является обязательной.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установленным настоящим ФГОС ВО.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и (или) производственная практики могут проводиться в структурных подразделениях организации.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В Блок 3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6.7. Программы магистратуры, содержащие сведения, составляющие государственную тайну, разрабатываются и реализуются с соблюдением требований, предусмотренных законодательством Российской Федерации и нормативными правовыми актами в области защиты государственной тайны.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6.8. </w:t>
      </w:r>
      <w:proofErr w:type="gramStart"/>
      <w:r>
        <w:rPr>
          <w:rFonts w:ascii="Calibri" w:hAnsi="Calibri" w:cs="Calibri"/>
        </w:rPr>
        <w:t>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6.9.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Количество часов, отведенных на занятия лекционного типа, в целом по Блоку 1 "Дисциплины (модули)" должно составлять не более 20 процентов от общего количества часов аудиторных занятий, отведенных на реализацию этого Блока.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214"/>
      <w:bookmarkEnd w:id="10"/>
      <w:r>
        <w:rPr>
          <w:rFonts w:ascii="Calibri" w:hAnsi="Calibri" w:cs="Calibri"/>
        </w:rPr>
        <w:t>VII. ТРЕБОВАНИЯ К УСЛОВИЯМ РЕАЛИЗАЦИИ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МАГИСТРАТУРЫ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1" w:name="Par217"/>
      <w:bookmarkEnd w:id="11"/>
      <w:r>
        <w:rPr>
          <w:rFonts w:ascii="Calibri" w:hAnsi="Calibri" w:cs="Calibri"/>
        </w:rPr>
        <w:t>7.1. Общесистемные требования к реализации программы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rPr>
          <w:rFonts w:ascii="Calibri" w:hAnsi="Calibri" w:cs="Calibri"/>
        </w:rPr>
        <w:t>вне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ее</w:t>
      </w:r>
      <w:proofErr w:type="gramEnd"/>
      <w:r>
        <w:rPr>
          <w:rFonts w:ascii="Calibri" w:hAnsi="Calibri" w:cs="Calibri"/>
        </w:rPr>
        <w:t>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Электронная информационно-образовательная среда организации должна обеспечивать: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электронного </w:t>
      </w:r>
      <w:proofErr w:type="spellStart"/>
      <w:r>
        <w:rPr>
          <w:rFonts w:ascii="Calibri" w:hAnsi="Calibri" w:cs="Calibri"/>
        </w:rPr>
        <w:t>портфолио</w:t>
      </w:r>
      <w:proofErr w:type="spellEnd"/>
      <w:r>
        <w:rPr>
          <w:rFonts w:ascii="Calibri" w:hAnsi="Calibri" w:cs="Calibri"/>
        </w:rPr>
        <w:t xml:space="preserve">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Федеральный </w:t>
      </w:r>
      <w:hyperlink r:id="rId1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N 23, ст. 2870; N 27, ст. 3479; N 52, ст. 6961, ст. 6963; 2014, N 19, ст. 2302; N 30, ст. 4223, ст. 4243), Федеральный </w:t>
      </w:r>
      <w:hyperlink r:id="rId1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7.1.5. </w:t>
      </w:r>
      <w:proofErr w:type="gramStart"/>
      <w:r>
        <w:rPr>
          <w:rFonts w:ascii="Calibri" w:hAnsi="Calibri" w:cs="Calibri"/>
        </w:rPr>
        <w:t xml:space="preserve">Квалификация руководящих и научно-педагогических работников организации должна </w:t>
      </w:r>
      <w:r>
        <w:rPr>
          <w:rFonts w:ascii="Calibri" w:hAnsi="Calibri" w:cs="Calibri"/>
        </w:rPr>
        <w:lastRenderedPageBreak/>
        <w:t xml:space="preserve">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3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rPr>
          <w:rFonts w:ascii="Calibri" w:hAnsi="Calibri" w:cs="Calibri"/>
        </w:rPr>
        <w:t xml:space="preserve"> 20237), и профессиональным стандартам (при наличии).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7.1.7. </w:t>
      </w:r>
      <w:proofErr w:type="gramStart"/>
      <w:r>
        <w:rPr>
          <w:rFonts w:ascii="Calibri" w:hAnsi="Calibri" w:cs="Calibri"/>
        </w:rP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rPr>
          <w:rFonts w:ascii="Calibri" w:hAnsi="Calibri" w:cs="Calibri"/>
        </w:rPr>
        <w:t>Web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Science</w:t>
      </w:r>
      <w:proofErr w:type="spellEnd"/>
      <w:r>
        <w:rPr>
          <w:rFonts w:ascii="Calibri" w:hAnsi="Calibri" w:cs="Calibri"/>
        </w:rPr>
        <w:t xml:space="preserve"> или </w:t>
      </w:r>
      <w:proofErr w:type="spellStart"/>
      <w:r>
        <w:rPr>
          <w:rFonts w:ascii="Calibri" w:hAnsi="Calibri" w:cs="Calibri"/>
        </w:rPr>
        <w:t>Scopus</w:t>
      </w:r>
      <w:proofErr w:type="spellEnd"/>
      <w:r>
        <w:rPr>
          <w:rFonts w:ascii="Calibri" w:hAnsi="Calibri" w:cs="Calibri"/>
        </w:rPr>
        <w:t>, или не менее 20 в журналах, индексируемых в Российском индексе научного цитирования.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7.1.8. </w:t>
      </w:r>
      <w:proofErr w:type="gramStart"/>
      <w:r>
        <w:rPr>
          <w:rFonts w:ascii="Calibri" w:hAnsi="Calibri" w:cs="Calibri"/>
        </w:rPr>
        <w:t>В организации, реализующей программы магистратуры,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4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2" w:name="Par239"/>
      <w:bookmarkEnd w:id="12"/>
      <w:r>
        <w:rPr>
          <w:rFonts w:ascii="Calibri" w:hAnsi="Calibri" w:cs="Calibri"/>
        </w:rPr>
        <w:t>7.2. Требования к кадровым условиям реализации программы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7.2.2.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75 процентов для академической магистратуры;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 процентов для прикладной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7.2.4. </w:t>
      </w:r>
      <w:proofErr w:type="gramStart"/>
      <w:r>
        <w:rPr>
          <w:rFonts w:ascii="Calibri" w:hAnsi="Calibri" w:cs="Calibri"/>
        </w:rP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процентов для академической магистратуры;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 процентов для прикладной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7.2.5. </w:t>
      </w:r>
      <w:proofErr w:type="gramStart"/>
      <w:r>
        <w:rPr>
          <w:rFonts w:ascii="Calibri" w:hAnsi="Calibri" w:cs="Calibri"/>
        </w:rP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rPr>
          <w:rFonts w:ascii="Calibri" w:hAnsi="Calibri" w:cs="Calibri"/>
        </w:rPr>
        <w:t xml:space="preserve"> научных журналах и изданиях, а также </w:t>
      </w:r>
      <w:proofErr w:type="gramStart"/>
      <w:r>
        <w:rPr>
          <w:rFonts w:ascii="Calibri" w:hAnsi="Calibri" w:cs="Calibri"/>
        </w:rPr>
        <w:t>осуществляющим</w:t>
      </w:r>
      <w:proofErr w:type="gramEnd"/>
      <w:r>
        <w:rPr>
          <w:rFonts w:ascii="Calibri" w:hAnsi="Calibri" w:cs="Calibri"/>
        </w:rPr>
        <w:t xml:space="preserve"> ежегодную апробацию </w:t>
      </w:r>
      <w:r>
        <w:rPr>
          <w:rFonts w:ascii="Calibri" w:hAnsi="Calibri" w:cs="Calibri"/>
        </w:rPr>
        <w:lastRenderedPageBreak/>
        <w:t>результатов указанной научно-исследовательской (творческой) деятельности на национальных и международных конференциях.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3" w:name="Par250"/>
      <w:bookmarkEnd w:id="13"/>
      <w:r>
        <w:rPr>
          <w:rFonts w:ascii="Calibri" w:hAnsi="Calibri" w:cs="Calibri"/>
        </w:rPr>
        <w:t>7.3. Требования к материально-техническому и учебно-методическому обеспечению программ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осваивать умения и навыки, предусмотренные профессиональной деятельностью.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</w:rPr>
      </w:pPr>
      <w:bookmarkStart w:id="14" w:name="Par262"/>
      <w:bookmarkEnd w:id="14"/>
      <w:r>
        <w:rPr>
          <w:rFonts w:ascii="Calibri" w:hAnsi="Calibri" w:cs="Calibri"/>
        </w:rPr>
        <w:t>7.4. Требования к финансовым условиям реализации программ магистратуры.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7.4.1. </w:t>
      </w:r>
      <w:proofErr w:type="gramStart"/>
      <w:r>
        <w:rPr>
          <w:rFonts w:ascii="Calibri" w:hAnsi="Calibri" w:cs="Calibri"/>
        </w:rP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5" w:history="1">
        <w:r>
          <w:rPr>
            <w:rFonts w:ascii="Calibri" w:hAnsi="Calibri" w:cs="Calibri"/>
            <w:color w:val="0000FF"/>
          </w:rPr>
          <w:t>Методикой</w:t>
        </w:r>
      </w:hyperlink>
      <w:r>
        <w:rPr>
          <w:rFonts w:ascii="Calibri" w:hAnsi="Calibri" w:cs="Calibri"/>
        </w:rPr>
        <w:t xml:space="preserve"> определения нормативных затрат на оказание государственных услуг </w:t>
      </w:r>
      <w:r>
        <w:rPr>
          <w:rFonts w:ascii="Calibri" w:hAnsi="Calibri" w:cs="Calibri"/>
        </w:rPr>
        <w:lastRenderedPageBreak/>
        <w:t>по реализации имеющих государственную аккредитацию образовательных</w:t>
      </w:r>
      <w:proofErr w:type="gramEnd"/>
      <w:r>
        <w:rPr>
          <w:rFonts w:ascii="Calibri" w:hAnsi="Calibri" w:cs="Calibri"/>
        </w:rP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F2360" w:rsidRDefault="00BF236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B6048" w:rsidRDefault="003B6048"/>
    <w:sectPr w:rsidR="003B6048" w:rsidSect="00BF2360">
      <w:pgSz w:w="11905" w:h="16838"/>
      <w:pgMar w:top="1134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360"/>
    <w:rsid w:val="003B6048"/>
    <w:rsid w:val="00474B04"/>
    <w:rsid w:val="006E5D71"/>
    <w:rsid w:val="008418C4"/>
    <w:rsid w:val="00BF2360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DAAC6DA93A3BD6921B2268E1F73D6C835B97C9F5050B5B2273887F8480378D79AA0C255DEBEAEf7jBK" TargetMode="External"/><Relationship Id="rId13" Type="http://schemas.openxmlformats.org/officeDocument/2006/relationships/hyperlink" Target="consultantplus://offline/ref=0EEDAAC6DA93A3BD6921B2268E1F73D6C835BF7F9F5350B5B2273887F8480378D79AA0C255DEBFACf7jCK" TargetMode="External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DAAC6DA93A3BD6921B2268E1F73D6C835B972995250B5B2273887F8f4j8K" TargetMode="External"/><Relationship Id="rId12" Type="http://schemas.openxmlformats.org/officeDocument/2006/relationships/hyperlink" Target="consultantplus://offline/ref=0EEDAAC6DA93A3BD6921B2268E1F73D6C832BB7B9B5450B5B2273887F8f4j8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DAAC6DA93A3BD6921B2268E1F73D6C832B57D9E5250B5B2273887F8480378D79AA0C255DEBFA9f7jEK" TargetMode="External"/><Relationship Id="rId11" Type="http://schemas.openxmlformats.org/officeDocument/2006/relationships/hyperlink" Target="consultantplus://offline/ref=0EEDAAC6DA93A3BD6921B2268E1F73D6C832B872995450B5B2273887F8f4j8K" TargetMode="External"/><Relationship Id="rId5" Type="http://schemas.openxmlformats.org/officeDocument/2006/relationships/hyperlink" Target="consultantplus://offline/ref=0EEDAAC6DA93A3BD6921B2268E1F73D6C832B8799A5C50B5B2273887F8480378D79AA0C255DEBFABf7jDK" TargetMode="External"/><Relationship Id="rId15" Type="http://schemas.openxmlformats.org/officeDocument/2006/relationships/hyperlink" Target="consultantplus://offline/ref=0EEDAAC6DA93A3BD6921B2268E1F73D6C831BF7A9E5550B5B2273887F8480378D79AA0C255DEBFACf7jEK" TargetMode="External"/><Relationship Id="rId10" Type="http://schemas.openxmlformats.org/officeDocument/2006/relationships/hyperlink" Target="consultantplus://offline/ref=0EEDAAC6DA93A3BD6921B2268E1F73D6C832B8799A5C50B5B2273887F8480378D79AA0C255DEBFAFf7jDK" TargetMode="External"/><Relationship Id="rId19" Type="http://schemas.openxmlformats.org/officeDocument/2006/relationships/customXml" Target="../customXml/item2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EEDAAC6DA93A3BD6921B2268E1F73D6C833BD7D9D5D50B5B2273887F8480378D79AA0C255DFBBA5f7jFK" TargetMode="External"/><Relationship Id="rId14" Type="http://schemas.openxmlformats.org/officeDocument/2006/relationships/hyperlink" Target="consultantplus://offline/ref=0EEDAAC6DA93A3BD6921B2268E1F73D6C831BD7E985D50B5B2273887F8480378D79AA0C255DEBFACf7j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53D352-48A1-4154-B9AB-4271FAEEE8D7}"/>
</file>

<file path=customXml/itemProps2.xml><?xml version="1.0" encoding="utf-8"?>
<ds:datastoreItem xmlns:ds="http://schemas.openxmlformats.org/officeDocument/2006/customXml" ds:itemID="{22EF2403-1374-4E33-94D9-0CCA9A918565}"/>
</file>

<file path=customXml/itemProps3.xml><?xml version="1.0" encoding="utf-8"?>
<ds:datastoreItem xmlns:ds="http://schemas.openxmlformats.org/officeDocument/2006/customXml" ds:itemID="{88AC1CEF-8CF3-405E-BFC1-55B9D471D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5911</Words>
  <Characters>33694</Characters>
  <Application>Microsoft Office Word</Application>
  <DocSecurity>0</DocSecurity>
  <Lines>280</Lines>
  <Paragraphs>79</Paragraphs>
  <ScaleCrop>false</ScaleCrop>
  <Company/>
  <LinksUpToDate>false</LinksUpToDate>
  <CharactersWithSpaces>39526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2</cp:revision>
  <dcterms:created xsi:type="dcterms:W3CDTF">2015-02-04T10:35:00Z</dcterms:created>
  <dcterms:modified xsi:type="dcterms:W3CDTF">2015-02-04T10:38:00Z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