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11 декабря 2014 г. N 35143</w:t>
      </w:r>
    </w:p>
    <w:p w:rsidR="00D65CE6" w:rsidRDefault="00D65CE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ноября 2014 г. N 1500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13.04.02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ЭЛЕКТРОЭНЕРГЕТИКА И ЭЛЕКТРОТЕХНИКА (УРОВЕНЬ МАГИСТРАТУРЫ)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13.04.02 Электроэнергетика и электротехника (уровень магистратуры).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8 декабря 2009 г. N 700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140400 Электроэнергетика и электротехника (квалификация (степень) "магистр")" (зарегистрирован Министерством юстиции Российской Федерации 4 февраля 2010 г., регистрационный N 16268);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пункт 8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 96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D65CE6" w:rsidRP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lastRenderedPageBreak/>
        <w:t>Приложение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ноября 2014 г. N 1500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13.04.02 ЭЛЕКТРОЭНЕРГЕТИКА И ЭЛЕКТРОТЕХНИКА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13.04.02 Электроэнергетика и электротехника (далее соответственно - программа магистратуры, направление подготовки).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ОПК -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организации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при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</w:t>
      </w:r>
      <w:r>
        <w:rPr>
          <w:rFonts w:ascii="Calibri" w:hAnsi="Calibri" w:cs="Calibri"/>
        </w:rPr>
        <w:lastRenderedPageBreak/>
        <w:t>реализуемый за один учебный год, определяется организацией самостоятельно;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магистратуры, включает: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совокупность технических средств, способов и методов человеческой деятельности для производства, передачи, распределения, преобразования, применения электрической энергии, управления потоками энергии, разработки и изготовления элементов, устройств и систем, реализующих эти процессы.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электроэнергетики: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электрические станции и подстанции;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электроэнергетические системы и сети;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электроснабжения городов, промышленных предприятий, сельского хозяйства, транспортных систем и их объектов;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установки высокого напряжения различного назначения, электроизоляционные материалы, конструкции и средства их диагностики, системы защиты от молнии и перенапряжений, средства обеспечения электромагнитной совместимости оборудования, высоковольтные </w:t>
      </w:r>
      <w:proofErr w:type="spellStart"/>
      <w:r>
        <w:rPr>
          <w:rFonts w:ascii="Calibri" w:hAnsi="Calibri" w:cs="Calibri"/>
        </w:rPr>
        <w:t>электротехнологии</w:t>
      </w:r>
      <w:proofErr w:type="spellEnd"/>
      <w:r>
        <w:rPr>
          <w:rFonts w:ascii="Calibri" w:hAnsi="Calibri" w:cs="Calibri"/>
        </w:rPr>
        <w:t>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релейная защита и автоматизация электроэнергетических систем;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энергетические установки, электростанции и комплексы на базе возобновляемых источников энергии;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проекты в электроэнергетике;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электротехники: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электрические машины, трансформаторы, электромеханические комплексы и системы, включая их управление и регулирование;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электрические и электронные аппараты, комплексы и системы электромеханических и электронных аппаратов, автоматические устройства и системы управления потоками энергии;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электромагнитные системы и устройства механизмов, технологических установок и электротехнических изделий, первичных преобразователей систем измерений, контроля и управления производственными процессами;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электрическая изоляция электроэнергетических и электротехнических устройств, кабельные изделия и провода, электрические конденсаторы, материалы и системы электрической изоляции </w:t>
      </w:r>
      <w:r>
        <w:rPr>
          <w:rFonts w:ascii="Calibri" w:hAnsi="Calibri" w:cs="Calibri"/>
        </w:rPr>
        <w:lastRenderedPageBreak/>
        <w:t>кабелей, электрических конденсаторов;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электрический привод и автоматика механизмов и технологических комплексов в различных отраслях хозяйства;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электротехнологические</w:t>
      </w:r>
      <w:proofErr w:type="spellEnd"/>
      <w:r>
        <w:rPr>
          <w:rFonts w:ascii="Calibri" w:hAnsi="Calibri" w:cs="Calibri"/>
        </w:rPr>
        <w:t xml:space="preserve"> установки и процессы, установки и приборы </w:t>
      </w:r>
      <w:proofErr w:type="spellStart"/>
      <w:r>
        <w:rPr>
          <w:rFonts w:ascii="Calibri" w:hAnsi="Calibri" w:cs="Calibri"/>
        </w:rPr>
        <w:t>электронагрева</w:t>
      </w:r>
      <w:proofErr w:type="spellEnd"/>
      <w:r>
        <w:rPr>
          <w:rFonts w:ascii="Calibri" w:hAnsi="Calibri" w:cs="Calibri"/>
        </w:rPr>
        <w:t>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различные виды электрического транспорта и средства обеспечения оптимального функционирования транспортных систем;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элементы и системы электрического оборудования автомобилей и тракторов;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судовые автоматизированные электроэнергетические системы, преобразовательные устройства, электроприводы энергетических, технологических и вспомогательных установок, их систем автоматизации, контроля и диагностики;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электроэнергетические системы, преобразовательные устройства и электроприводы энергетических, технологических и вспомогательных установок, их системы автоматизации, контроля и диагностики на летательных аппаратах;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электрическое хозяйство промышленных предприятий, все заводское электрооборудование низкого и высокого напряжения, электротехнические установки, сети предприятий, организаций и учреждений;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проекты в электротехнике;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монтажно-наладочная;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сервисно-эксплуатационная</w:t>
      </w:r>
      <w:proofErr w:type="spellEnd"/>
      <w:r>
        <w:rPr>
          <w:rFonts w:ascii="Calibri" w:hAnsi="Calibri" w:cs="Calibri"/>
        </w:rPr>
        <w:t>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состояния и динамики показателей качества объектов деятельности с использованием необходимых методов и средств исследований;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математических моделей объектов профессиональной деятельности;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планов и программ проведения исследований;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синтез объектов профессиональной деятельности;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защиты объектов интеллектуальной собственности и результатов исследований;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целей проекта (программы), критериев и показателей достижения целей, построение структуры их взаимосвязей, выявление приоритетов решения задач;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анализ обобщенных вариантов решения проблемы;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прогнозирование последствий принимаемых решений;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нахождение компромиссных решений в условиях многокритериальности и неопределенности;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планирование реализации проекта;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технико-экономической эффективности принимаемых решений;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коллектива исполнителей, принятие управленческих решений в условиях различных мнений, организация повышения квалификации сотрудников подразделений в области профессиональной деятельности;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производственных и непроизводственных затрат на обеспечение качества продукции, проведение маркетинга и подготовка бизнес-планов выпуска и реализации перспективных и конкурентоспособных изделий;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адаптация современных версий систем управления качеством к конкретным условиям производства на основе международных стандартов, осуществление технического контроля и управления качеством;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функций преподавателя при реализации образовательных программ в образовательных организациях;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норм выработки, технологических нормативов на расход материалов, заготовок, топлива и электроэнергии;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оборудования и технологической оснастки;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экономической эффективности технологических процессов, </w:t>
      </w:r>
      <w:proofErr w:type="spellStart"/>
      <w:r>
        <w:rPr>
          <w:rFonts w:ascii="Calibri" w:hAnsi="Calibri" w:cs="Calibri"/>
        </w:rPr>
        <w:t>инновационно-технологических</w:t>
      </w:r>
      <w:proofErr w:type="spellEnd"/>
      <w:r>
        <w:rPr>
          <w:rFonts w:ascii="Calibri" w:hAnsi="Calibri" w:cs="Calibri"/>
        </w:rPr>
        <w:t xml:space="preserve"> рисков при внедрении новых техники и технологий;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мероприятий по эффективному использованию энергии и сырья;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методов и способов обеспечения экологической безопасности производства;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монтажно-наладочная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участие в проведении монтажа и наладки электроэнергетического и электротехнического оборудования;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сервисно-эксплуатационная</w:t>
      </w:r>
      <w:proofErr w:type="spellEnd"/>
      <w:r>
        <w:rPr>
          <w:rFonts w:ascii="Calibri" w:hAnsi="Calibri" w:cs="Calibri"/>
        </w:rPr>
        <w:t xml:space="preserve">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эксплуатации и ремонта электроэнергетического и электротехнического оборудования.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43"/>
      <w:bookmarkEnd w:id="7"/>
      <w:r>
        <w:rPr>
          <w:rFonts w:ascii="Calibri" w:hAnsi="Calibri" w:cs="Calibri"/>
        </w:rPr>
        <w:t>V. ТРЕБОВАНИЯ К РЕЗУЛЬТАТАМ ОСВОЕНИЯ ПРОГРАММЫ МАГИСТРАТУРЫ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и профессиональные компетенции.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абстрактному мышлению, обобщению, анализу, систематизации и прогнозированию (ОК-1);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действовать в нестандартных ситуациях, нести ответственность за принятые решения (ОК-2);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саморазвитию, самореализации, использованию творческого потенциала (ОК-3).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магистратуры,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формулировать цели и задачи исследования, выявлять приоритеты решения задач, выбирать и создавать критерии оценки (ОПК-1);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современные методы исследования, оценивать и представлять результаты выполненной работы (ОПК-2);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иностранный язык в профессиональной сфере (ОПК-3);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использовать углубленные теоретические и практические знания, которые находятся на передовом рубеже науки и техники в области профессиональной деятельности </w:t>
      </w:r>
      <w:r>
        <w:rPr>
          <w:rFonts w:ascii="Calibri" w:hAnsi="Calibri" w:cs="Calibri"/>
        </w:rPr>
        <w:lastRenderedPageBreak/>
        <w:t>(ОПК-4).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</w:t>
      </w:r>
      <w:proofErr w:type="gramStart"/>
      <w:r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планировать и ставить задачи исследования, выбирать методы экспериментальной работы, интерпретировать и представлять результаты научных исследований (ПК-1);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самостоятельно выполнять исследования (ПК-2);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оценивать риск и определять меры по обеспечению безопасности разрабатываемых новых технологий, объектов профессиональной деятельности (ПК-3);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поиск по источникам патентной информации, определять патентную чистоту разрабатываемых объектов техники, подготавливать первичные материалы к патентованию изобретений, регистрации программ для электронных вычислительных машин и баз данных (ПК-4);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проводить экспертизы предлагаемых проектно-конструкторских решений и новых технологических решений (ПК-5);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формулировать технические задания, разрабатывать и использовать средства автоматизации при проектировании и технологической подготовке производства (ПК-6);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методы анализа вариантов, разработки и поиска компромиссных решений (ПК-7);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методы создания и анализа моделей, позволяющих прогнозировать свойства и поведение объектов профессиональной деятельности (ПК-8);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выбирать серийные и проектировать новые объекты профессиональной деятельности (ПК-9);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управлять проектами разработки объектов профессиональной деятельности (ПК-10);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технико-экономическое обоснование проектов (ПК-11);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управлять действующими технологическими процессами, обеспечивающими выпуск продукции, отвечающей требованиям стандартов и рынка (ПК-12);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элементы экономического анализа в организации и проведении практической деятельности на предприятии (ПК-13);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планы и программы организации инновационной деятельности на предприятии (ПК-14);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управлять программами освоения новой продукции и технологии (ПК-15);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эффективную стратегию и формировать активную политику управления с учетом рисков на предприятии (ПК-16);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владеть приемами и методами работы с персоналом, методами оценки качества и результативности труда персонала, обеспечения требований безопасности жизнедеятельности (ПК-17);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реализации мероприятий по экологической безопасности предприятий (ПК-18);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маркетинг объектов профессиональной деятельности (ПК-19);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организовать работу по повышению профессионального уровня работников (ПК-20);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реализации различных видов учебной работы (ПК-21);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эксплуатировать, проводить испытания и ремонт технологического оборудования электроэнергетической и электротехнической промышленности (ПК-22);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применять методы и средства автоматизированных систем управления технологическими процессами электроэнергетической и электротехнической промышленности </w:t>
      </w:r>
      <w:r>
        <w:rPr>
          <w:rFonts w:ascii="Calibri" w:hAnsi="Calibri" w:cs="Calibri"/>
        </w:rPr>
        <w:lastRenderedPageBreak/>
        <w:t>(ПК-23);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принимать решения в области электроэнергетики и электротехники с учетом </w:t>
      </w:r>
      <w:proofErr w:type="spellStart"/>
      <w:r>
        <w:rPr>
          <w:rFonts w:ascii="Calibri" w:hAnsi="Calibri" w:cs="Calibri"/>
        </w:rPr>
        <w:t>энерго</w:t>
      </w:r>
      <w:proofErr w:type="spellEnd"/>
      <w:r>
        <w:rPr>
          <w:rFonts w:ascii="Calibri" w:hAnsi="Calibri" w:cs="Calibri"/>
        </w:rPr>
        <w:t>- и ресурсосбережения (ПК-24);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разработки планов, программ и методик проведения испытаний электротехнических и электроэнергетических устройств и систем (ПК-25);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определять эффективные производственно-технологические режимы работы объектов электроэнергетики и электротехники (ПК-26);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монтажно-наладочная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монтажу, регулировке, испытаниям, наладке и сдаче в эксплуатацию электроэнергетического и электротехнического оборудования (ПК-27);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сервисно-эксплуатационная</w:t>
      </w:r>
      <w:proofErr w:type="spellEnd"/>
      <w:r>
        <w:rPr>
          <w:rFonts w:ascii="Calibri" w:hAnsi="Calibri" w:cs="Calibri"/>
        </w:rPr>
        <w:t xml:space="preserve"> деятельность: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проверке технического состояния и остаточного ресурса оборудования и организации профилактических осмотров и текущего ремонта (ПК-28);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подготовке технической документации на ремонт, к составлению заявок на оборудование и запасные части (ПК-29);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составлению инструкций по эксплуатации оборудования и программ испытаний (ПК-30).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При разработке программы магистратуры все общекультурные и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97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13" w:history="1">
        <w:r>
          <w:rPr>
            <w:rFonts w:ascii="Calibri" w:hAnsi="Calibri" w:cs="Calibri"/>
            <w:color w:val="0000FF"/>
          </w:rPr>
          <w:t>Блок 1</w:t>
        </w:r>
      </w:hyperlink>
      <w:r>
        <w:rPr>
          <w:rFonts w:ascii="Calibri" w:hAnsi="Calibri" w:cs="Calibri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20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25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D65CE6" w:rsidRDefault="00D65CE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207"/>
      <w:bookmarkEnd w:id="9"/>
      <w:r>
        <w:rPr>
          <w:rFonts w:ascii="Calibri" w:hAnsi="Calibri" w:cs="Calibri"/>
        </w:rPr>
        <w:lastRenderedPageBreak/>
        <w:t>Структура программы магистратуры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lang w:val="en-US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62"/>
        <w:gridCol w:w="6660"/>
        <w:gridCol w:w="2034"/>
      </w:tblGrid>
      <w:tr w:rsidR="00D65CE6"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D65CE6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0" w:name="Par213"/>
            <w:bookmarkEnd w:id="10"/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54 - 66</w:t>
            </w:r>
          </w:p>
        </w:tc>
      </w:tr>
      <w:tr w:rsidR="00D65CE6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15 - 21</w:t>
            </w:r>
          </w:p>
        </w:tc>
      </w:tr>
      <w:tr w:rsidR="00D65CE6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1" w:name="Par218"/>
            <w:bookmarkEnd w:id="11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39 - 45</w:t>
            </w:r>
          </w:p>
        </w:tc>
      </w:tr>
      <w:tr w:rsidR="00D65CE6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2" w:name="Par220"/>
            <w:bookmarkEnd w:id="12"/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45 - 60</w:t>
            </w:r>
          </w:p>
        </w:tc>
      </w:tr>
      <w:tr w:rsidR="00D65CE6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3" w:name="Par223"/>
            <w:bookmarkEnd w:id="13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45 - 60</w:t>
            </w:r>
          </w:p>
        </w:tc>
      </w:tr>
      <w:tr w:rsidR="00D65CE6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4" w:name="Par225"/>
            <w:bookmarkEnd w:id="14"/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D65CE6"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CE6" w:rsidRDefault="00D6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(модули), относящиеся к вариативной части программы магистратуры, практики (в том числе НИР),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ar218" w:history="1">
        <w:r>
          <w:rPr>
            <w:rFonts w:ascii="Calibri" w:hAnsi="Calibri" w:cs="Calibri"/>
            <w:color w:val="0000FF"/>
          </w:rPr>
          <w:t>Блока 1</w:t>
        </w:r>
      </w:hyperlink>
      <w:r>
        <w:rPr>
          <w:rFonts w:ascii="Calibri" w:hAnsi="Calibri" w:cs="Calibri"/>
        </w:rPr>
        <w:t xml:space="preserve"> "Дисциплины (модули)" и </w:t>
      </w:r>
      <w:hyperlink w:anchor="Par223" w:history="1">
        <w:r>
          <w:rPr>
            <w:rFonts w:ascii="Calibri" w:hAnsi="Calibri" w:cs="Calibri"/>
            <w:color w:val="0000FF"/>
          </w:rPr>
          <w:t>Блока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 </w:t>
      </w:r>
      <w:hyperlink w:anchor="Par220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НИР.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и производственной практик: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</w:t>
      </w:r>
      <w:r>
        <w:rPr>
          <w:rFonts w:ascii="Calibri" w:hAnsi="Calibri" w:cs="Calibri"/>
        </w:rPr>
        <w:lastRenderedPageBreak/>
        <w:t xml:space="preserve">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В </w:t>
      </w:r>
      <w:hyperlink w:anchor="Par225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Программы магистратуры,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</w:t>
      </w:r>
      <w:proofErr w:type="gramStart"/>
      <w:r>
        <w:rPr>
          <w:rFonts w:ascii="Calibri" w:hAnsi="Calibri" w:cs="Calibri"/>
        </w:rP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6.9.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</w:t>
      </w:r>
      <w:hyperlink w:anchor="Par218" w:history="1">
        <w:r>
          <w:rPr>
            <w:rFonts w:ascii="Calibri" w:hAnsi="Calibri" w:cs="Calibri"/>
            <w:color w:val="0000FF"/>
          </w:rPr>
          <w:t>вариативной части</w:t>
        </w:r>
      </w:hyperlink>
      <w:r>
        <w:rPr>
          <w:rFonts w:ascii="Calibri" w:hAnsi="Calibri" w:cs="Calibri"/>
        </w:rPr>
        <w:t xml:space="preserve"> Блока 1 "Дисциплины (модули)".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6.10. Количество часов, отведенных на занятия лекционного типа, в целом по </w:t>
      </w:r>
      <w:hyperlink w:anchor="Par213" w:history="1">
        <w:r>
          <w:rPr>
            <w:rFonts w:ascii="Calibri" w:hAnsi="Calibri" w:cs="Calibri"/>
            <w:color w:val="0000FF"/>
          </w:rPr>
          <w:t>Блоку 1</w:t>
        </w:r>
      </w:hyperlink>
      <w:r>
        <w:rPr>
          <w:rFonts w:ascii="Calibri" w:hAnsi="Calibri" w:cs="Calibri"/>
        </w:rP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этого </w:t>
      </w:r>
      <w:hyperlink w:anchor="Par213" w:history="1">
        <w:r>
          <w:rPr>
            <w:rFonts w:ascii="Calibri" w:hAnsi="Calibri" w:cs="Calibri"/>
            <w:color w:val="0000FF"/>
          </w:rPr>
          <w:t>Блока</w:t>
        </w:r>
      </w:hyperlink>
      <w:r>
        <w:rPr>
          <w:rFonts w:ascii="Calibri" w:hAnsi="Calibri" w:cs="Calibri"/>
        </w:rPr>
        <w:t>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252"/>
      <w:bookmarkEnd w:id="15"/>
      <w:r>
        <w:rPr>
          <w:rFonts w:ascii="Calibri" w:hAnsi="Calibri" w:cs="Calibri"/>
        </w:rPr>
        <w:t>VII. ТРЕБОВАНИЯ К УСЛОВИЯМ РЕАЛИЗАЦИИ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255"/>
      <w:bookmarkEnd w:id="16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электронного </w:t>
      </w:r>
      <w:proofErr w:type="spellStart"/>
      <w:r>
        <w:rPr>
          <w:rFonts w:ascii="Calibri" w:hAnsi="Calibri" w:cs="Calibri"/>
        </w:rPr>
        <w:t>портфолио</w:t>
      </w:r>
      <w:proofErr w:type="spellEnd"/>
      <w:r>
        <w:rPr>
          <w:rFonts w:ascii="Calibri" w:hAnsi="Calibri" w:cs="Calibri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</w:t>
      </w:r>
      <w:r>
        <w:rPr>
          <w:rFonts w:ascii="Calibri" w:hAnsi="Calibri" w:cs="Calibri"/>
        </w:rPr>
        <w:lastRenderedPageBreak/>
        <w:t>процесса;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>, или не менее 20 в журналах, индексируемых в Российском индексе научного цитирования.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4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7" w:name="Par277"/>
      <w:bookmarkEnd w:id="17"/>
      <w:r>
        <w:rPr>
          <w:rFonts w:ascii="Calibri" w:hAnsi="Calibri" w:cs="Calibri"/>
        </w:rPr>
        <w:t>7.2. Требования к кадровым условиям реализации программы магистратуры.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магистратуры обеспечивается руководящими и научно-</w:t>
      </w:r>
      <w:r>
        <w:rPr>
          <w:rFonts w:ascii="Calibri" w:hAnsi="Calibri" w:cs="Calibri"/>
        </w:rPr>
        <w:lastRenderedPageBreak/>
        <w:t>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70 процентов для программы академической магистратуры;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 процентов для программы прикладной магистратуры.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процентов для программы академической магистратуры;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для программы прикладной магистратуры.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7.2.5.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8" w:name="Par288"/>
      <w:bookmarkEnd w:id="18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</w:t>
      </w:r>
      <w:r>
        <w:rPr>
          <w:rFonts w:ascii="Calibri" w:hAnsi="Calibri" w:cs="Calibri"/>
        </w:rPr>
        <w:lastRenderedPageBreak/>
        <w:t xml:space="preserve">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9" w:name="Par300"/>
      <w:bookmarkEnd w:id="19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5CE6" w:rsidRDefault="00D65CE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CE6"/>
    <w:rsid w:val="00167DEE"/>
    <w:rsid w:val="003B6048"/>
    <w:rsid w:val="00474B04"/>
    <w:rsid w:val="008418C4"/>
    <w:rsid w:val="00D65CE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E83EADED0DA4790997C7449456C2D837F2ED90B3164D27674A6C32167D94DDBCF58E9E5E8155D24CHAK" TargetMode="External"/><Relationship Id="rId13" Type="http://schemas.openxmlformats.org/officeDocument/2006/relationships/hyperlink" Target="consultantplus://offline/ref=90E83EADED0DA4790997C7449456C2D837F2EB93B3154D27674A6C32167D94DDBCF58E9E5E8155DA4CHDK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E83EADED0DA4790997C7449456C2D837F2ED9FB4144D27674A6C321647HDK" TargetMode="External"/><Relationship Id="rId12" Type="http://schemas.openxmlformats.org/officeDocument/2006/relationships/hyperlink" Target="consultantplus://offline/ref=90E83EADED0DA4790997C7449456C2D837F5EF97B7124D27674A6C321647HD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E83EADED0DA4790997C7449456C2D837F5E191B2144D27674A6C32167D94DDBCF58E9E5E8155DF4CHFK" TargetMode="External"/><Relationship Id="rId11" Type="http://schemas.openxmlformats.org/officeDocument/2006/relationships/hyperlink" Target="consultantplus://offline/ref=90E83EADED0DA4790997C7449456C2D837F5EC9EB5124D27674A6C321647HDK" TargetMode="External"/><Relationship Id="rId5" Type="http://schemas.openxmlformats.org/officeDocument/2006/relationships/hyperlink" Target="consultantplus://offline/ref=90E83EADED0DA4790997C7449456C2D837F5EC95B61A4D27674A6C32167D94DDBCF58E9E5E8155DD4CHCK" TargetMode="External"/><Relationship Id="rId15" Type="http://schemas.openxmlformats.org/officeDocument/2006/relationships/hyperlink" Target="consultantplus://offline/ref=90E83EADED0DA4790997C7449456C2D837F6EB96B2134D27674A6C32167D94DDBCF58E9E5E8155DA4CHFK" TargetMode="External"/><Relationship Id="rId10" Type="http://schemas.openxmlformats.org/officeDocument/2006/relationships/hyperlink" Target="consultantplus://offline/ref=90E83EADED0DA4790997C7449456C2D837F5EC95B61A4D27674A6C32167D94DDBCF58E9E5E8155D94CHCK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0E83EADED0DA4790997C7449456C2D837F4E991B11B4D27674A6C32167D94DDBCF58E9E5E8056D94CHEK" TargetMode="External"/><Relationship Id="rId14" Type="http://schemas.openxmlformats.org/officeDocument/2006/relationships/hyperlink" Target="consultantplus://offline/ref=90E83EADED0DA4790997C7449456C2D837F6E992B41B4D27674A6C32167D94DDBCF58E9E5E8155DA4CH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A7B2722-F2FB-431E-A417-A2CD5F12CF82}"/>
</file>

<file path=customXml/itemProps2.xml><?xml version="1.0" encoding="utf-8"?>
<ds:datastoreItem xmlns:ds="http://schemas.openxmlformats.org/officeDocument/2006/customXml" ds:itemID="{9D5F7363-FB37-44FE-9399-BFF90CB9BDEC}"/>
</file>

<file path=customXml/itemProps3.xml><?xml version="1.0" encoding="utf-8"?>
<ds:datastoreItem xmlns:ds="http://schemas.openxmlformats.org/officeDocument/2006/customXml" ds:itemID="{2C05D648-F694-4EAB-922D-CD67B960D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5795</Words>
  <Characters>33035</Characters>
  <Application>Microsoft Office Word</Application>
  <DocSecurity>0</DocSecurity>
  <Lines>275</Lines>
  <Paragraphs>77</Paragraphs>
  <ScaleCrop>false</ScaleCrop>
  <Company/>
  <LinksUpToDate>false</LinksUpToDate>
  <CharactersWithSpaces>38753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2</cp:revision>
  <dcterms:created xsi:type="dcterms:W3CDTF">2015-02-04T10:07:00Z</dcterms:created>
  <dcterms:modified xsi:type="dcterms:W3CDTF">2015-02-04T10:09:00Z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