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57" w:rsidRDefault="00B32657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</w:pPr>
      <w:r>
        <w:t>Зарегистрировано в Минюсте России 23 сентября 2015 г. N 38968</w:t>
      </w:r>
    </w:p>
    <w:p w:rsidR="00B32657" w:rsidRDefault="00B326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B32657" w:rsidRDefault="00B32657">
      <w:pPr>
        <w:pStyle w:val="ConsPlusTitle"/>
        <w:jc w:val="center"/>
      </w:pPr>
    </w:p>
    <w:p w:rsidR="00B32657" w:rsidRDefault="00B32657">
      <w:pPr>
        <w:pStyle w:val="ConsPlusTitle"/>
        <w:jc w:val="center"/>
      </w:pPr>
      <w:r>
        <w:t>ПРИКАЗ</w:t>
      </w:r>
    </w:p>
    <w:p w:rsidR="00B32657" w:rsidRDefault="00B32657">
      <w:pPr>
        <w:pStyle w:val="ConsPlusTitle"/>
        <w:jc w:val="center"/>
      </w:pPr>
      <w:r>
        <w:t>от 28 августа 2015 г. N 911</w:t>
      </w:r>
    </w:p>
    <w:p w:rsidR="00B32657" w:rsidRDefault="00B32657">
      <w:pPr>
        <w:pStyle w:val="ConsPlusTitle"/>
        <w:jc w:val="center"/>
      </w:pPr>
    </w:p>
    <w:p w:rsidR="00B32657" w:rsidRDefault="00B32657">
      <w:pPr>
        <w:pStyle w:val="ConsPlusTitle"/>
        <w:jc w:val="center"/>
      </w:pPr>
      <w:r>
        <w:t>ОБ УТВЕРЖДЕНИИ</w:t>
      </w:r>
    </w:p>
    <w:p w:rsidR="00B32657" w:rsidRDefault="00B32657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B32657" w:rsidRDefault="00B32657">
      <w:pPr>
        <w:pStyle w:val="ConsPlusTitle"/>
        <w:jc w:val="center"/>
      </w:pPr>
      <w:r>
        <w:t>ВЫСШЕГО ОБРАЗОВАНИЯ ПО НАПРАВЛЕНИЮ ПОДГОТОВКИ 01.04.02</w:t>
      </w:r>
    </w:p>
    <w:p w:rsidR="00B32657" w:rsidRDefault="00B32657">
      <w:pPr>
        <w:pStyle w:val="ConsPlusTitle"/>
        <w:jc w:val="center"/>
      </w:pPr>
      <w:r>
        <w:t>ПРИКЛАДНАЯ МАТЕМАТИКА И ИНФОРМАТИКА (УРОВЕНЬ МАГИСТРАТУРЫ)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B32657" w:rsidRDefault="00B32657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01.04.02 Прикладные математика и информатика (уровень магистратуры).</w:t>
      </w:r>
    </w:p>
    <w:p w:rsidR="00B32657" w:rsidRDefault="00B32657">
      <w:pPr>
        <w:pStyle w:val="ConsPlusNormal"/>
        <w:ind w:firstLine="540"/>
        <w:jc w:val="both"/>
      </w:pPr>
      <w:r>
        <w:t>2. Признать утратившими силу:</w:t>
      </w:r>
    </w:p>
    <w:p w:rsidR="00B32657" w:rsidRDefault="00D81D2B">
      <w:pPr>
        <w:pStyle w:val="ConsPlusNormal"/>
        <w:ind w:firstLine="540"/>
        <w:jc w:val="both"/>
      </w:pPr>
      <w:hyperlink r:id="rId7" w:history="1">
        <w:r w:rsidR="00B32657">
          <w:rPr>
            <w:color w:val="0000FF"/>
          </w:rPr>
          <w:t>приказ</w:t>
        </w:r>
      </w:hyperlink>
      <w:r w:rsidR="00B32657">
        <w:t xml:space="preserve"> Министерства образования и науки Российской Федерации от 20 мая 2010 г. N 545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010400 Прикладная математика и информатика (квалификация (степень) "магистр")" (зарегистрирован Министерством юстиции Российской Федерации 16 июля 2010 г., регистрационный N 17859);</w:t>
      </w:r>
    </w:p>
    <w:p w:rsidR="00B32657" w:rsidRDefault="00D81D2B">
      <w:pPr>
        <w:pStyle w:val="ConsPlusNormal"/>
        <w:ind w:firstLine="540"/>
        <w:jc w:val="both"/>
      </w:pPr>
      <w:hyperlink r:id="rId8" w:history="1">
        <w:r w:rsidR="00B32657">
          <w:rPr>
            <w:color w:val="0000FF"/>
          </w:rPr>
          <w:t>пункт 4</w:t>
        </w:r>
      </w:hyperlink>
      <w:r w:rsidR="00B32657"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jc w:val="right"/>
      </w:pPr>
      <w:r>
        <w:t>Министр</w:t>
      </w:r>
    </w:p>
    <w:p w:rsidR="00B32657" w:rsidRDefault="00B32657">
      <w:pPr>
        <w:pStyle w:val="ConsPlusNormal"/>
        <w:jc w:val="right"/>
      </w:pPr>
      <w:r>
        <w:t>Д.В.ЛИВАНОВ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jc w:val="right"/>
      </w:pPr>
      <w:r>
        <w:t>Приложение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jc w:val="right"/>
      </w:pPr>
      <w:r>
        <w:t>Утвержден</w:t>
      </w:r>
    </w:p>
    <w:p w:rsidR="00B32657" w:rsidRDefault="00B32657">
      <w:pPr>
        <w:pStyle w:val="ConsPlusNormal"/>
        <w:jc w:val="right"/>
      </w:pPr>
      <w:r>
        <w:t>приказом Министерства образования</w:t>
      </w:r>
    </w:p>
    <w:p w:rsidR="00B32657" w:rsidRDefault="00B32657">
      <w:pPr>
        <w:pStyle w:val="ConsPlusNormal"/>
        <w:jc w:val="right"/>
      </w:pPr>
      <w:r>
        <w:t>и науки Российской Федерации</w:t>
      </w:r>
    </w:p>
    <w:p w:rsidR="00B32657" w:rsidRDefault="00B32657">
      <w:pPr>
        <w:pStyle w:val="ConsPlusNormal"/>
        <w:jc w:val="right"/>
      </w:pPr>
      <w:r>
        <w:t>от 28 августа 2015 г. N 911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Title"/>
        <w:jc w:val="center"/>
      </w:pPr>
      <w:bookmarkStart w:id="0" w:name="P34"/>
      <w:bookmarkEnd w:id="0"/>
      <w:r>
        <w:lastRenderedPageBreak/>
        <w:t>ФЕДЕРАЛЬНЫЙ ГОСУДАРСТВЕННЫЙ ОБРАЗОВАТЕЛЬНЫЙ СТАНДАРТ</w:t>
      </w:r>
    </w:p>
    <w:p w:rsidR="00B32657" w:rsidRDefault="00B32657">
      <w:pPr>
        <w:pStyle w:val="ConsPlusTitle"/>
        <w:jc w:val="center"/>
      </w:pPr>
      <w:r>
        <w:t>ВЫСШЕГО ОБРАЗОВАНИЯ</w:t>
      </w:r>
    </w:p>
    <w:p w:rsidR="00B32657" w:rsidRDefault="00B32657">
      <w:pPr>
        <w:pStyle w:val="ConsPlusTitle"/>
        <w:jc w:val="center"/>
      </w:pPr>
    </w:p>
    <w:p w:rsidR="00B32657" w:rsidRDefault="00B32657">
      <w:pPr>
        <w:pStyle w:val="ConsPlusTitle"/>
        <w:jc w:val="center"/>
      </w:pPr>
      <w:r>
        <w:t>УРОВЕНЬ ВЫСШЕГО ОБРАЗОВАНИЯ</w:t>
      </w:r>
    </w:p>
    <w:p w:rsidR="00B32657" w:rsidRDefault="00B32657">
      <w:pPr>
        <w:pStyle w:val="ConsPlusTitle"/>
        <w:jc w:val="center"/>
      </w:pPr>
      <w:r>
        <w:t>МАГИСТРАТУРА</w:t>
      </w:r>
    </w:p>
    <w:p w:rsidR="00B32657" w:rsidRDefault="00B32657">
      <w:pPr>
        <w:pStyle w:val="ConsPlusTitle"/>
        <w:jc w:val="center"/>
      </w:pPr>
    </w:p>
    <w:p w:rsidR="00B32657" w:rsidRDefault="00B32657">
      <w:pPr>
        <w:pStyle w:val="ConsPlusTitle"/>
        <w:jc w:val="center"/>
      </w:pPr>
      <w:r>
        <w:t>НАПРАВЛЕНИЕ ПОДГОТОВКИ</w:t>
      </w:r>
    </w:p>
    <w:p w:rsidR="00B32657" w:rsidRDefault="00B32657">
      <w:pPr>
        <w:pStyle w:val="ConsPlusTitle"/>
        <w:jc w:val="center"/>
      </w:pPr>
      <w:r>
        <w:t>01.04.02 ПРИКЛАДНАЯ МАТЕМАТИКА И ИНФОРМАТИКА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jc w:val="center"/>
      </w:pPr>
      <w:r>
        <w:t>I. ОБЛАСТЬ ПРИМЕНЕНИЯ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01.04.02 Прикладная математика и информатика (далее соответственно - программа магистратуры, направление подготовки).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jc w:val="center"/>
      </w:pPr>
      <w:r>
        <w:t>II. ИСПОЛЬЗУЕМЫЕ СОКРАЩЕНИЯ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B32657" w:rsidRDefault="00B32657">
      <w:pPr>
        <w:pStyle w:val="ConsPlusNormal"/>
        <w:ind w:firstLine="540"/>
        <w:jc w:val="both"/>
      </w:pPr>
      <w:r>
        <w:t>ОК - общекультурные компетенции;</w:t>
      </w:r>
    </w:p>
    <w:p w:rsidR="00B32657" w:rsidRDefault="00B32657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B32657" w:rsidRDefault="00B32657">
      <w:pPr>
        <w:pStyle w:val="ConsPlusNormal"/>
        <w:ind w:firstLine="540"/>
        <w:jc w:val="both"/>
      </w:pPr>
      <w:r>
        <w:t>ПК - профессиональные компетенции;</w:t>
      </w:r>
    </w:p>
    <w:p w:rsidR="00B32657" w:rsidRDefault="00B32657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B32657" w:rsidRDefault="00B32657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jc w:val="center"/>
      </w:pPr>
      <w:r>
        <w:t>III. ХАРАКТЕРИСТИКА НАПРАВЛЕНИЯ ПОДГОТОВКИ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ind w:firstLine="540"/>
        <w:jc w:val="both"/>
      </w:pPr>
      <w: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B32657" w:rsidRDefault="00B32657">
      <w:pPr>
        <w:pStyle w:val="ConsPlusNormal"/>
        <w:ind w:firstLine="540"/>
        <w:jc w:val="both"/>
      </w:pPr>
      <w:r>
        <w:t xml:space="preserve">3.2. </w:t>
      </w:r>
      <w:proofErr w:type="gramStart"/>
      <w:r>
        <w:t xml:space="preserve">Обучение по программе магистратуры в организации осуществляется в очной и </w:t>
      </w:r>
      <w:proofErr w:type="spellStart"/>
      <w:r>
        <w:t>очно-заочной</w:t>
      </w:r>
      <w:proofErr w:type="spellEnd"/>
      <w:r>
        <w:t xml:space="preserve"> формах обучения.</w:t>
      </w:r>
      <w:proofErr w:type="gramEnd"/>
    </w:p>
    <w:p w:rsidR="00B32657" w:rsidRDefault="00B32657">
      <w:pPr>
        <w:pStyle w:val="ConsPlusNormal"/>
        <w:ind w:firstLine="540"/>
        <w:jc w:val="both"/>
      </w:pPr>
      <w:r>
        <w:t xml:space="preserve">Объем программы магистратуры составляет 120 зачетных единиц (далее - </w:t>
      </w:r>
      <w:proofErr w:type="spellStart"/>
      <w:r>
        <w:t>з.е</w:t>
      </w:r>
      <w:proofErr w:type="spellEnd"/>
      <w: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B32657" w:rsidRDefault="00B32657">
      <w:pPr>
        <w:pStyle w:val="ConsPlusNormal"/>
        <w:ind w:firstLine="540"/>
        <w:jc w:val="both"/>
      </w:pPr>
      <w:r>
        <w:t>3.3. Срок получения образования по программе магистратуры:</w:t>
      </w:r>
    </w:p>
    <w:p w:rsidR="00B32657" w:rsidRDefault="00B32657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>
        <w:t>з.е</w:t>
      </w:r>
      <w:proofErr w:type="spellEnd"/>
      <w:r>
        <w:t>.;</w:t>
      </w:r>
    </w:p>
    <w:p w:rsidR="00B32657" w:rsidRDefault="00B32657">
      <w:pPr>
        <w:pStyle w:val="ConsPlusNormal"/>
        <w:ind w:firstLine="540"/>
        <w:jc w:val="both"/>
      </w:pPr>
      <w:r>
        <w:t xml:space="preserve">в </w:t>
      </w:r>
      <w:proofErr w:type="spellStart"/>
      <w:r>
        <w:t>очно-заочной</w:t>
      </w:r>
      <w:proofErr w:type="spellEnd"/>
      <w:r>
        <w:t xml:space="preserve"> форме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обучения;</w:t>
      </w:r>
    </w:p>
    <w:p w:rsidR="00B32657" w:rsidRDefault="00B32657">
      <w:pPr>
        <w:pStyle w:val="ConsPlusNormal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обучения. При обучении по индивидуальному учебному плану лиц с ограниченными возможностями здоровья может быть </w:t>
      </w:r>
      <w:proofErr w:type="gramStart"/>
      <w:r>
        <w:t>увеличен</w:t>
      </w:r>
      <w:proofErr w:type="gramEnd"/>
      <w:r>
        <w:t xml:space="preserve"> по их желанию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t>за один учебный год при обучении по индивидуальному учебному плану вне зависимости от формы</w:t>
      </w:r>
      <w:proofErr w:type="gramEnd"/>
      <w:r>
        <w:t xml:space="preserve"> обучения не может составлять более 75 </w:t>
      </w:r>
      <w:proofErr w:type="spellStart"/>
      <w:r>
        <w:t>з.е</w:t>
      </w:r>
      <w:proofErr w:type="spellEnd"/>
      <w:r>
        <w:t>.</w:t>
      </w:r>
    </w:p>
    <w:p w:rsidR="00B32657" w:rsidRDefault="00B32657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магистратуры, реализуемый </w:t>
      </w:r>
      <w:r>
        <w:lastRenderedPageBreak/>
        <w:t xml:space="preserve">за один учебный год, в </w:t>
      </w:r>
      <w:proofErr w:type="spellStart"/>
      <w:r>
        <w:t>очно-заочной</w:t>
      </w:r>
      <w:proofErr w:type="spellEnd"/>
      <w:r>
        <w:t xml:space="preserve"> форме обучения, а также по индивидуальному учебному плану определяются организацией самостоятельно в пределах сроков, установленных настоящим пунктом.</w:t>
      </w:r>
    </w:p>
    <w:p w:rsidR="00B32657" w:rsidRDefault="00B32657">
      <w:pPr>
        <w:pStyle w:val="ConsPlusNormal"/>
        <w:ind w:firstLine="540"/>
        <w:jc w:val="both"/>
      </w:pPr>
      <w: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B32657" w:rsidRDefault="00B32657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B32657" w:rsidRDefault="00B32657">
      <w:pPr>
        <w:pStyle w:val="ConsPlusNormal"/>
        <w:ind w:firstLine="540"/>
        <w:jc w:val="both"/>
      </w:pPr>
      <w:r>
        <w:t>3.5. Реализация программы магистратуры возможна с использованием сетевой формы.</w:t>
      </w:r>
    </w:p>
    <w:p w:rsidR="00B32657" w:rsidRDefault="00B32657">
      <w:pPr>
        <w:pStyle w:val="ConsPlusNormal"/>
        <w:ind w:firstLine="540"/>
        <w:jc w:val="both"/>
      </w:pPr>
      <w: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jc w:val="center"/>
      </w:pPr>
      <w:r>
        <w:t>IV. ХАРАКТЕРИСТИКА ПРОФЕССИОНАЛЬНОЙ ДЕЯТЕЛЬНОСТИ</w:t>
      </w:r>
    </w:p>
    <w:p w:rsidR="00B32657" w:rsidRDefault="00B32657">
      <w:pPr>
        <w:pStyle w:val="ConsPlusNormal"/>
        <w:jc w:val="center"/>
      </w:pPr>
      <w:r>
        <w:t>ВЫПУСКНИКОВ, ОСВОИВШИХ ПРОГРАММУ МАГИСТРАТУРЫ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магистратуры, включает:</w:t>
      </w:r>
    </w:p>
    <w:p w:rsidR="00B32657" w:rsidRDefault="00B32657">
      <w:pPr>
        <w:pStyle w:val="ConsPlusNormal"/>
        <w:ind w:firstLine="540"/>
        <w:jc w:val="both"/>
      </w:pPr>
      <w:r>
        <w:t>научные, научно-исследовательские организации, связанные с решением научных и технических задач, научно-исследовательские и вычислительные центры;</w:t>
      </w:r>
    </w:p>
    <w:p w:rsidR="00B32657" w:rsidRDefault="00B32657">
      <w:pPr>
        <w:pStyle w:val="ConsPlusNormal"/>
        <w:ind w:firstLine="540"/>
        <w:jc w:val="both"/>
      </w:pPr>
      <w:r>
        <w:t>научно-производственные организации;</w:t>
      </w:r>
    </w:p>
    <w:p w:rsidR="00B32657" w:rsidRDefault="00B32657">
      <w:pPr>
        <w:pStyle w:val="ConsPlusNormal"/>
        <w:ind w:firstLine="540"/>
        <w:jc w:val="both"/>
      </w:pPr>
      <w:r>
        <w:t>образовательные организации высшего образования и профессиональные образовательные организации, органы государственной власти, организации различных форм собственности, индустрии и бизнеса, осуществляющие разработку и использование информационных систем, научных достижений, продуктов и сервисов в сфере прикладной математики и информатики.</w:t>
      </w:r>
    </w:p>
    <w:p w:rsidR="00B32657" w:rsidRDefault="00B32657">
      <w:pPr>
        <w:pStyle w:val="ConsPlusNormal"/>
        <w:ind w:firstLine="540"/>
        <w:jc w:val="both"/>
      </w:pPr>
      <w:r>
        <w:t xml:space="preserve">4.2. </w:t>
      </w:r>
      <w:proofErr w:type="gramStart"/>
      <w:r>
        <w:t>Объектами профессиональной деятельности выпускников, освоивших программу магистратуры, являются математическое моделирование, математическая физика, обратные и некорректно поставленные задачи, численные методы, теория вероятностей и математическая статистика, исследование операций и системный анализ, оптимизация и оптимальное управление, математическая кибернетика, дискретная математика, нелинейная динамика, информатика и управление, математические модели сложных систем (теория, алгоритмы, приложения), математические и компьютерные методы обработки изображений, математическое и информационное обеспечение экономической</w:t>
      </w:r>
      <w:proofErr w:type="gramEnd"/>
      <w:r>
        <w:t xml:space="preserve"> </w:t>
      </w:r>
      <w:proofErr w:type="gramStart"/>
      <w:r>
        <w:t xml:space="preserve">деятельности, математические методы и программное обеспечение защиты информации, математическое и программное обеспечение компьютерных сетей, информационные системы и их исследование методами математического прогнозирования и системного анализа, математические модели и методы в проектировании сверхбольших интегральных схем, высокопроизводительные вычисления и технологии параллельного программирования, вычислительные </w:t>
      </w:r>
      <w:proofErr w:type="spellStart"/>
      <w:r>
        <w:t>нанотехнологии</w:t>
      </w:r>
      <w:proofErr w:type="spellEnd"/>
      <w:r>
        <w:t xml:space="preserve">, интеллектуальные системы, </w:t>
      </w:r>
      <w:proofErr w:type="spellStart"/>
      <w:r>
        <w:t>биоинформатика</w:t>
      </w:r>
      <w:proofErr w:type="spellEnd"/>
      <w:r>
        <w:t>, программная инженерия, системное программирование, средства, технологии, ресурсы и сервисы электронного обучения и мобильного обучения, прикладные</w:t>
      </w:r>
      <w:proofErr w:type="gramEnd"/>
      <w:r>
        <w:t xml:space="preserve"> </w:t>
      </w:r>
      <w:proofErr w:type="spellStart"/>
      <w:proofErr w:type="gramStart"/>
      <w:r>
        <w:t>интернет-технологии</w:t>
      </w:r>
      <w:proofErr w:type="spellEnd"/>
      <w:proofErr w:type="gramEnd"/>
      <w:r>
        <w:t>, автоматизация научных исследований, языки программирования, алгоритмы, библиотеки и пакеты программ, продукты системного и прикладного программного обеспечения, системное и прикладное программное обеспечение, базы данных, системы управления предприятием, сетевые технологии.</w:t>
      </w:r>
    </w:p>
    <w:p w:rsidR="00B32657" w:rsidRDefault="00B32657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магистратуры:</w:t>
      </w:r>
    </w:p>
    <w:p w:rsidR="00B32657" w:rsidRDefault="00B32657">
      <w:pPr>
        <w:pStyle w:val="ConsPlusNormal"/>
        <w:ind w:firstLine="540"/>
        <w:jc w:val="both"/>
      </w:pPr>
      <w:r>
        <w:t>научно-исследовательская;</w:t>
      </w:r>
    </w:p>
    <w:p w:rsidR="00B32657" w:rsidRDefault="00B32657">
      <w:pPr>
        <w:pStyle w:val="ConsPlusNormal"/>
        <w:ind w:firstLine="540"/>
        <w:jc w:val="both"/>
      </w:pPr>
      <w:r>
        <w:t>проектная и производственно-технологическая;</w:t>
      </w:r>
    </w:p>
    <w:p w:rsidR="00B32657" w:rsidRDefault="00B32657">
      <w:pPr>
        <w:pStyle w:val="ConsPlusNormal"/>
        <w:ind w:firstLine="540"/>
        <w:jc w:val="both"/>
      </w:pPr>
      <w:r>
        <w:t>организационно-управленческая;</w:t>
      </w:r>
    </w:p>
    <w:p w:rsidR="00B32657" w:rsidRDefault="00B32657">
      <w:pPr>
        <w:pStyle w:val="ConsPlusNormal"/>
        <w:ind w:firstLine="540"/>
        <w:jc w:val="both"/>
      </w:pPr>
      <w:r>
        <w:t>нормативно-методическая;</w:t>
      </w:r>
    </w:p>
    <w:p w:rsidR="00B32657" w:rsidRDefault="00B32657">
      <w:pPr>
        <w:pStyle w:val="ConsPlusNormal"/>
        <w:ind w:firstLine="540"/>
        <w:jc w:val="both"/>
      </w:pPr>
      <w:r>
        <w:t>педагогическая;</w:t>
      </w:r>
    </w:p>
    <w:p w:rsidR="00B32657" w:rsidRDefault="00B32657">
      <w:pPr>
        <w:pStyle w:val="ConsPlusNormal"/>
        <w:ind w:firstLine="540"/>
        <w:jc w:val="both"/>
      </w:pPr>
      <w:r>
        <w:t>консалтинговая;</w:t>
      </w:r>
    </w:p>
    <w:p w:rsidR="00B32657" w:rsidRDefault="00B32657">
      <w:pPr>
        <w:pStyle w:val="ConsPlusNormal"/>
        <w:ind w:firstLine="540"/>
        <w:jc w:val="both"/>
      </w:pPr>
      <w:proofErr w:type="spellStart"/>
      <w:r>
        <w:t>консорциумная</w:t>
      </w:r>
      <w:proofErr w:type="spellEnd"/>
      <w:r>
        <w:t>;</w:t>
      </w:r>
    </w:p>
    <w:p w:rsidR="00B32657" w:rsidRDefault="00B32657">
      <w:pPr>
        <w:pStyle w:val="ConsPlusNormal"/>
        <w:ind w:firstLine="540"/>
        <w:jc w:val="both"/>
      </w:pPr>
      <w:r>
        <w:t>социально-ориентированная.</w:t>
      </w:r>
    </w:p>
    <w:p w:rsidR="00B32657" w:rsidRDefault="00B32657">
      <w:pPr>
        <w:pStyle w:val="ConsPlusNormal"/>
        <w:ind w:firstLine="540"/>
        <w:jc w:val="both"/>
      </w:pPr>
      <w:r>
        <w:lastRenderedPageBreak/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научно-исследовательского и материально-технических ресурсов организации.</w:t>
      </w:r>
    </w:p>
    <w:p w:rsidR="00B32657" w:rsidRDefault="00B32657">
      <w:pPr>
        <w:pStyle w:val="ConsPlusNormal"/>
        <w:ind w:firstLine="540"/>
        <w:jc w:val="both"/>
      </w:pPr>
      <w: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B32657" w:rsidRDefault="00B32657">
      <w:pPr>
        <w:pStyle w:val="ConsPlusNormal"/>
        <w:ind w:firstLine="540"/>
        <w:jc w:val="both"/>
      </w:pPr>
      <w: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B32657" w:rsidRDefault="00B32657">
      <w:pPr>
        <w:pStyle w:val="ConsPlusNormal"/>
        <w:ind w:firstLine="540"/>
        <w:jc w:val="both"/>
      </w:pPr>
      <w: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B32657" w:rsidRDefault="00B32657">
      <w:pPr>
        <w:pStyle w:val="ConsPlusNormal"/>
        <w:ind w:firstLine="540"/>
        <w:jc w:val="both"/>
      </w:pPr>
      <w: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B32657" w:rsidRDefault="00B32657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B32657" w:rsidRDefault="00B32657">
      <w:pPr>
        <w:pStyle w:val="ConsPlusNormal"/>
        <w:ind w:firstLine="540"/>
        <w:jc w:val="both"/>
      </w:pPr>
      <w:r>
        <w:t>построение математических моделей и исследование их аналитическими методами, разработка алгоритмов, методов, программного обеспечения, инструментальных средств по тематике проводимых научно-исследовательских проектов;</w:t>
      </w:r>
    </w:p>
    <w:p w:rsidR="00B32657" w:rsidRDefault="00B32657">
      <w:pPr>
        <w:pStyle w:val="ConsPlusNormal"/>
        <w:ind w:firstLine="540"/>
        <w:jc w:val="both"/>
      </w:pPr>
      <w:r>
        <w:t>исследование систем методами математического прогнозирования и системного анализа;</w:t>
      </w:r>
    </w:p>
    <w:p w:rsidR="00B32657" w:rsidRDefault="00B32657">
      <w:pPr>
        <w:pStyle w:val="ConsPlusNormal"/>
        <w:ind w:firstLine="540"/>
        <w:jc w:val="both"/>
      </w:pPr>
      <w:r>
        <w:t>разработка и применение современных высокопроизводительных вычислительных технологий, применение современных суперкомпьютеров в проводимых исследованиях;</w:t>
      </w:r>
    </w:p>
    <w:p w:rsidR="00B32657" w:rsidRDefault="00B32657">
      <w:pPr>
        <w:pStyle w:val="ConsPlusNormal"/>
        <w:ind w:firstLine="540"/>
        <w:jc w:val="both"/>
      </w:pPr>
      <w:r>
        <w:t>изучение новых научных результатов, научной литературы или научно-исследовательских проектов в области прикладной математики и информатики в соответствии с тематикой проводимых исследований;</w:t>
      </w:r>
    </w:p>
    <w:p w:rsidR="00B32657" w:rsidRDefault="00B32657">
      <w:pPr>
        <w:pStyle w:val="ConsPlusNormal"/>
        <w:ind w:firstLine="540"/>
        <w:jc w:val="both"/>
      </w:pPr>
      <w:r>
        <w:t>составление научных обзоров, рефератов и библиографии, подготовка научных и научно-технических публикаций по тематике проводимых исследований.</w:t>
      </w:r>
    </w:p>
    <w:p w:rsidR="00B32657" w:rsidRDefault="00B32657">
      <w:pPr>
        <w:pStyle w:val="ConsPlusNormal"/>
        <w:ind w:firstLine="540"/>
        <w:jc w:val="both"/>
      </w:pPr>
      <w:r>
        <w:t>проектная и производственно-технологическая деятельность:</w:t>
      </w:r>
    </w:p>
    <w:p w:rsidR="00B32657" w:rsidRDefault="00B32657">
      <w:pPr>
        <w:pStyle w:val="ConsPlusNormal"/>
        <w:ind w:firstLine="540"/>
        <w:jc w:val="both"/>
      </w:pPr>
      <w:r>
        <w:t>применение математических методов исследования информационных и имитационных моделей по тематике выполняемых прикладных научно-исследовательских или опытно-конструкторских работ;</w:t>
      </w:r>
    </w:p>
    <w:p w:rsidR="00B32657" w:rsidRDefault="00B32657">
      <w:pPr>
        <w:pStyle w:val="ConsPlusNormal"/>
        <w:ind w:firstLine="540"/>
        <w:jc w:val="both"/>
      </w:pPr>
      <w:r>
        <w:t>применение наукоемких математических и информационных технологий и пакетов программ для решения прикладных задач в области физики, химии, биологии, экономики, медицины, экологии;</w:t>
      </w:r>
    </w:p>
    <w:p w:rsidR="00B32657" w:rsidRDefault="00B32657">
      <w:pPr>
        <w:pStyle w:val="ConsPlusNormal"/>
        <w:ind w:firstLine="540"/>
        <w:jc w:val="both"/>
      </w:pPr>
      <w:r>
        <w:t>исследование автоматизированных систем и средств обработки информации, средств администрирования и методов управления безопасностью компьютерных сетей;</w:t>
      </w:r>
    </w:p>
    <w:p w:rsidR="00B32657" w:rsidRDefault="00B32657">
      <w:pPr>
        <w:pStyle w:val="ConsPlusNormal"/>
        <w:ind w:firstLine="540"/>
        <w:jc w:val="both"/>
      </w:pPr>
      <w:r>
        <w:t>проектирование элементов сверхбольших интегральных схем, моделирование оптических или квантовых элементов и разработка математического обеспечения для компьютеров нового поколения;</w:t>
      </w:r>
    </w:p>
    <w:p w:rsidR="00B32657" w:rsidRDefault="00B32657">
      <w:pPr>
        <w:pStyle w:val="ConsPlusNormal"/>
        <w:ind w:firstLine="540"/>
        <w:jc w:val="both"/>
      </w:pPr>
      <w:r>
        <w:t>разработка программного и информационного обеспечения компьютерных сетей, автоматизированных систем вычислительных комплексов, сервисов, операционных систем и распределенных баз данных;</w:t>
      </w:r>
    </w:p>
    <w:p w:rsidR="00B32657" w:rsidRDefault="00B32657">
      <w:pPr>
        <w:pStyle w:val="ConsPlusNormal"/>
        <w:ind w:firstLine="540"/>
        <w:jc w:val="both"/>
      </w:pPr>
      <w:r>
        <w:t>разработка и исследование алгоритмов, вычислительных моделей и моделей данных для реализации элементов новых (или известных) сервисов систем информационных технологий;</w:t>
      </w:r>
    </w:p>
    <w:p w:rsidR="00B32657" w:rsidRDefault="00B32657">
      <w:pPr>
        <w:pStyle w:val="ConsPlusNormal"/>
        <w:ind w:firstLine="540"/>
        <w:jc w:val="both"/>
      </w:pPr>
      <w:r>
        <w:t>разработка архитектуры, алгоритмических и программных решений системного и прикладного программного обеспечения;</w:t>
      </w:r>
    </w:p>
    <w:p w:rsidR="00B32657" w:rsidRDefault="00B32657">
      <w:pPr>
        <w:pStyle w:val="ConsPlusNormal"/>
        <w:ind w:firstLine="540"/>
        <w:jc w:val="both"/>
      </w:pPr>
      <w:r>
        <w:t>исследование и разработка языков программирования, алгоритмов, библиотек и пакетов программ, продуктов системного и прикладного программного обеспечения;</w:t>
      </w:r>
    </w:p>
    <w:p w:rsidR="00B32657" w:rsidRDefault="00B32657">
      <w:pPr>
        <w:pStyle w:val="ConsPlusNormal"/>
        <w:ind w:firstLine="540"/>
        <w:jc w:val="both"/>
      </w:pPr>
      <w:r>
        <w:t>исследование и разработка систем цифровой обработки изображений, средств компьютерной графики, мультимедиа и автоматизированного проектирования;</w:t>
      </w:r>
    </w:p>
    <w:p w:rsidR="00B32657" w:rsidRDefault="00B32657">
      <w:pPr>
        <w:pStyle w:val="ConsPlusNormal"/>
        <w:ind w:firstLine="540"/>
        <w:jc w:val="both"/>
      </w:pPr>
      <w:r>
        <w:t>развитие и использование математических и информационных инструментальных средств, автоматизированных систем в научной и практической деятельности;</w:t>
      </w:r>
    </w:p>
    <w:p w:rsidR="00B32657" w:rsidRDefault="00B32657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B32657" w:rsidRDefault="00B32657">
      <w:pPr>
        <w:pStyle w:val="ConsPlusNormal"/>
        <w:ind w:firstLine="540"/>
        <w:jc w:val="both"/>
      </w:pPr>
      <w:r>
        <w:t xml:space="preserve">разработка процедур и процессов управления качеством производственной деятельности, </w:t>
      </w:r>
      <w:r>
        <w:lastRenderedPageBreak/>
        <w:t>связанной с созданием и использованием систем информационных технологий;</w:t>
      </w:r>
    </w:p>
    <w:p w:rsidR="00B32657" w:rsidRDefault="00B32657">
      <w:pPr>
        <w:pStyle w:val="ConsPlusNormal"/>
        <w:ind w:firstLine="540"/>
        <w:jc w:val="both"/>
      </w:pPr>
      <w:r>
        <w:t>управление проектами (</w:t>
      </w:r>
      <w:proofErr w:type="spellStart"/>
      <w:r>
        <w:t>подпроектами</w:t>
      </w:r>
      <w:proofErr w:type="spellEnd"/>
      <w:r>
        <w:t>), планирование производственных процессов и ресурсов, анализ рисков, управление командой проекта;</w:t>
      </w:r>
    </w:p>
    <w:p w:rsidR="00B32657" w:rsidRDefault="00B32657">
      <w:pPr>
        <w:pStyle w:val="ConsPlusNormal"/>
        <w:ind w:firstLine="540"/>
        <w:jc w:val="both"/>
      </w:pPr>
      <w:r>
        <w:t>обеспечение соблюдения кодекса профессиональной этики;</w:t>
      </w:r>
    </w:p>
    <w:p w:rsidR="00B32657" w:rsidRDefault="00B32657">
      <w:pPr>
        <w:pStyle w:val="ConsPlusNormal"/>
        <w:ind w:firstLine="540"/>
        <w:jc w:val="both"/>
      </w:pPr>
      <w:r>
        <w:t>организация корпоративного обучения на основе электронных и мобильных технологий и развитие корпоративных баз знаний;</w:t>
      </w:r>
    </w:p>
    <w:p w:rsidR="00B32657" w:rsidRDefault="00B32657">
      <w:pPr>
        <w:pStyle w:val="ConsPlusNormal"/>
        <w:ind w:firstLine="540"/>
        <w:jc w:val="both"/>
      </w:pPr>
      <w:r>
        <w:t>нормативно-методическая деятельность:</w:t>
      </w:r>
    </w:p>
    <w:p w:rsidR="00B32657" w:rsidRDefault="00B32657">
      <w:pPr>
        <w:pStyle w:val="ConsPlusNormal"/>
        <w:ind w:firstLine="540"/>
        <w:jc w:val="both"/>
      </w:pPr>
      <w:r>
        <w:t>участие в разработке корпоративной технической политики в развитии корпоративной инфраструктуры информационных технологий на принципах открытых систем;</w:t>
      </w:r>
    </w:p>
    <w:p w:rsidR="00B32657" w:rsidRDefault="00B32657">
      <w:pPr>
        <w:pStyle w:val="ConsPlusNormal"/>
        <w:ind w:firstLine="540"/>
        <w:jc w:val="both"/>
      </w:pPr>
      <w:r>
        <w:t>участие в разработке корпоративных стандартов и профилей функциональной стандартизации приложений, систем, информационной инфраструктуры;</w:t>
      </w:r>
    </w:p>
    <w:p w:rsidR="00B32657" w:rsidRDefault="00B32657">
      <w:pPr>
        <w:pStyle w:val="ConsPlusNormal"/>
        <w:ind w:firstLine="540"/>
        <w:jc w:val="both"/>
      </w:pPr>
      <w:r>
        <w:t>педагогическая деятельность:</w:t>
      </w:r>
    </w:p>
    <w:p w:rsidR="00B32657" w:rsidRDefault="00B32657">
      <w:pPr>
        <w:pStyle w:val="ConsPlusNormal"/>
        <w:ind w:firstLine="540"/>
        <w:jc w:val="both"/>
      </w:pPr>
      <w:r>
        <w:t>преподавание учебных дисциплин с применением современных методик;</w:t>
      </w:r>
    </w:p>
    <w:p w:rsidR="00B32657" w:rsidRDefault="00B32657">
      <w:pPr>
        <w:pStyle w:val="ConsPlusNormal"/>
        <w:ind w:firstLine="540"/>
        <w:jc w:val="both"/>
      </w:pPr>
      <w:r>
        <w:t>преподавание учебных дисциплин с использованием методов электронного обучения;</w:t>
      </w:r>
    </w:p>
    <w:p w:rsidR="00B32657" w:rsidRDefault="00B32657">
      <w:pPr>
        <w:pStyle w:val="ConsPlusNormal"/>
        <w:ind w:firstLine="540"/>
        <w:jc w:val="both"/>
      </w:pPr>
      <w:r>
        <w:t>консультирование по выполнению курсовых и выпускных квалификационных работ обучающихся в образовательных организациях высшего образования и профессиональных образовательных организациях в области прикладной математики и информационных технологий;</w:t>
      </w:r>
    </w:p>
    <w:p w:rsidR="00B32657" w:rsidRDefault="00B32657">
      <w:pPr>
        <w:pStyle w:val="ConsPlusNormal"/>
        <w:ind w:firstLine="540"/>
        <w:jc w:val="both"/>
      </w:pPr>
      <w:r>
        <w:t>проведение семинарских и практических занятий по общематематическим дисциплинам и информатике, а также лекционных занятий спецкурсов в соответствии с направленностью (профилем) программы магистратуры, в образовательных организациях высшего образования и профессиональных образовательных организациях;</w:t>
      </w:r>
    </w:p>
    <w:p w:rsidR="00B32657" w:rsidRDefault="00B32657">
      <w:pPr>
        <w:pStyle w:val="ConsPlusNormal"/>
        <w:ind w:firstLine="540"/>
        <w:jc w:val="both"/>
      </w:pPr>
      <w:r>
        <w:t>разработка учебно-методических материалов по тематике прикладной математики и информатики для профессиональных образовательных организаций и образовательных организаций высшего образования;</w:t>
      </w:r>
    </w:p>
    <w:p w:rsidR="00B32657" w:rsidRDefault="00B32657">
      <w:pPr>
        <w:pStyle w:val="ConsPlusNormal"/>
        <w:ind w:firstLine="540"/>
        <w:jc w:val="both"/>
      </w:pPr>
      <w:r>
        <w:t>преподавание факультативных дисциплин в области прикладной математики и информатики в общеобразовательных организациях;</w:t>
      </w:r>
    </w:p>
    <w:p w:rsidR="00B32657" w:rsidRDefault="00B32657">
      <w:pPr>
        <w:pStyle w:val="ConsPlusNormal"/>
        <w:ind w:firstLine="540"/>
        <w:jc w:val="both"/>
      </w:pPr>
      <w:r>
        <w:t>консалтинговая деятельность:</w:t>
      </w:r>
    </w:p>
    <w:p w:rsidR="00B32657" w:rsidRDefault="00B32657">
      <w:pPr>
        <w:pStyle w:val="ConsPlusNormal"/>
        <w:ind w:firstLine="540"/>
        <w:jc w:val="both"/>
      </w:pPr>
      <w:r>
        <w:t>разработка аналитических обзоров состояния в области прикладной математики и информатики в соответствии с направленностью (профилем) программы магистратуры;</w:t>
      </w:r>
    </w:p>
    <w:p w:rsidR="00B32657" w:rsidRDefault="00B32657">
      <w:pPr>
        <w:pStyle w:val="ConsPlusNormal"/>
        <w:ind w:firstLine="540"/>
        <w:jc w:val="both"/>
      </w:pPr>
      <w:r>
        <w:t>участие в ведомственных, отраслевых или государственных экспертных группах по экспертизе проектов, тематика которых соответствует направленности (профилю) программы магистратуры;</w:t>
      </w:r>
    </w:p>
    <w:p w:rsidR="00B32657" w:rsidRDefault="00B32657">
      <w:pPr>
        <w:pStyle w:val="ConsPlusNormal"/>
        <w:ind w:firstLine="540"/>
        <w:jc w:val="both"/>
      </w:pPr>
      <w:r>
        <w:t>оказание консалтинговых услуг по тематике, соответствующей направленности (профилю) программы магистратуры;</w:t>
      </w:r>
    </w:p>
    <w:p w:rsidR="00B32657" w:rsidRDefault="00B32657">
      <w:pPr>
        <w:pStyle w:val="ConsPlusNormal"/>
        <w:ind w:firstLine="540"/>
        <w:jc w:val="both"/>
      </w:pPr>
      <w:proofErr w:type="spellStart"/>
      <w:r>
        <w:t>консорциумная</w:t>
      </w:r>
      <w:proofErr w:type="spellEnd"/>
      <w:r>
        <w:t xml:space="preserve"> деятельность:</w:t>
      </w:r>
    </w:p>
    <w:p w:rsidR="00B32657" w:rsidRDefault="00B32657">
      <w:pPr>
        <w:pStyle w:val="ConsPlusNormal"/>
        <w:ind w:firstLine="540"/>
        <w:jc w:val="both"/>
      </w:pPr>
      <w:r>
        <w:t>участие в международных проектах, связанных с решением задач математического моделирования распределенных систем, нелинейных динамических систем, системного анализа и математического прогнозирования информационных систем;</w:t>
      </w:r>
    </w:p>
    <w:p w:rsidR="00B32657" w:rsidRDefault="00B32657">
      <w:pPr>
        <w:pStyle w:val="ConsPlusNormal"/>
        <w:ind w:firstLine="540"/>
        <w:jc w:val="both"/>
      </w:pPr>
      <w:r>
        <w:t>участие в деятельности профессиональных сетевых сообществ по конкретным направлениям развития области прикладной математики и информационных технологий;</w:t>
      </w:r>
    </w:p>
    <w:p w:rsidR="00B32657" w:rsidRDefault="00B32657">
      <w:pPr>
        <w:pStyle w:val="ConsPlusNormal"/>
        <w:ind w:firstLine="540"/>
        <w:jc w:val="both"/>
      </w:pPr>
      <w:r>
        <w:t>социально-ориентированная деятельность:</w:t>
      </w:r>
    </w:p>
    <w:p w:rsidR="00B32657" w:rsidRDefault="00B32657">
      <w:pPr>
        <w:pStyle w:val="ConsPlusNormal"/>
        <w:ind w:firstLine="540"/>
        <w:jc w:val="both"/>
      </w:pPr>
      <w:r>
        <w:t>участие в разработке корпоративной политики и мероприятий в области повышения социальной ответственности бизнеса перед обществом, включая разработку и реализацию решений, направленных на поддержку социально-значимых проектов, на повышение электронной грамотности населения, обеспечение общедоступности информационных услуг.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jc w:val="center"/>
      </w:pPr>
      <w:r>
        <w:t>V. ТРЕБОВАНИЯ К РЕЗУЛЬТАТАМ ОСВОЕНИЯ ПРОГРАММЫ МАГИСТРАТУРЫ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ind w:firstLine="540"/>
        <w:jc w:val="both"/>
      </w:pPr>
      <w:r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B32657" w:rsidRDefault="00B32657">
      <w:pPr>
        <w:pStyle w:val="ConsPlusNormal"/>
        <w:ind w:firstLine="540"/>
        <w:jc w:val="both"/>
      </w:pPr>
      <w:r>
        <w:t>5.2. Выпускник, освоивший программу магистратуры, должен обладать следующими общекультурными компетенциями:</w:t>
      </w:r>
    </w:p>
    <w:p w:rsidR="00B32657" w:rsidRDefault="00B32657">
      <w:pPr>
        <w:pStyle w:val="ConsPlusNormal"/>
        <w:ind w:firstLine="540"/>
        <w:jc w:val="both"/>
      </w:pPr>
      <w:r>
        <w:t>способностью к абстрактному мышлению, анализу, синтезу (ОК-1);</w:t>
      </w:r>
    </w:p>
    <w:p w:rsidR="00B32657" w:rsidRDefault="00B32657">
      <w:pPr>
        <w:pStyle w:val="ConsPlusNormal"/>
        <w:ind w:firstLine="540"/>
        <w:jc w:val="both"/>
      </w:pPr>
      <w:r>
        <w:lastRenderedPageBreak/>
        <w:t>готовностью действовать в нестандартных ситуациях, нести социальную и этическую ответственность за принятые решения (ОК-2);</w:t>
      </w:r>
    </w:p>
    <w:p w:rsidR="00B32657" w:rsidRDefault="00B32657">
      <w:pPr>
        <w:pStyle w:val="ConsPlusNormal"/>
        <w:ind w:firstLine="540"/>
        <w:jc w:val="both"/>
      </w:pPr>
      <w:r>
        <w:t>готовностью к саморазвитию, самореализации, использованию творческого потенциала (ОК-3).</w:t>
      </w:r>
    </w:p>
    <w:p w:rsidR="00B32657" w:rsidRDefault="00B32657">
      <w:pPr>
        <w:pStyle w:val="ConsPlusNormal"/>
        <w:ind w:firstLine="540"/>
        <w:jc w:val="both"/>
      </w:pPr>
      <w:r>
        <w:t xml:space="preserve">5.3. Выпускник, освоивший программы магистратуры, должен обладать следующими </w:t>
      </w:r>
      <w:proofErr w:type="spellStart"/>
      <w:r>
        <w:t>общепрофессиональными</w:t>
      </w:r>
      <w:proofErr w:type="spellEnd"/>
      <w:r>
        <w:t xml:space="preserve"> компетенциями:</w:t>
      </w:r>
    </w:p>
    <w:p w:rsidR="00B32657" w:rsidRDefault="00B32657">
      <w:pPr>
        <w:pStyle w:val="ConsPlusNormal"/>
        <w:ind w:firstLine="540"/>
        <w:jc w:val="both"/>
      </w:pPr>
      <w:proofErr w:type="gramStart"/>
      <w:r>
        <w:t>готовностью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 (ОПК-1);</w:t>
      </w:r>
      <w:proofErr w:type="gramEnd"/>
    </w:p>
    <w:p w:rsidR="00B32657" w:rsidRDefault="00B32657">
      <w:pPr>
        <w:pStyle w:val="ConsPlusNormal"/>
        <w:ind w:firstLine="540"/>
        <w:jc w:val="both"/>
      </w:pPr>
      <w: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(ОПК-2);</w:t>
      </w:r>
    </w:p>
    <w:p w:rsidR="00B32657" w:rsidRDefault="00B32657">
      <w:pPr>
        <w:pStyle w:val="ConsPlusNormal"/>
        <w:ind w:firstLine="540"/>
        <w:jc w:val="both"/>
      </w:pPr>
      <w:r>
        <w:t>способностью самостоятельно приобретать с помощью информационных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деятельности, расширять и углублять свое научное мировоззрение (ОПК-3);</w:t>
      </w:r>
    </w:p>
    <w:p w:rsidR="00B32657" w:rsidRDefault="00B32657">
      <w:pPr>
        <w:pStyle w:val="ConsPlusNormal"/>
        <w:ind w:firstLine="540"/>
        <w:jc w:val="both"/>
      </w:pPr>
      <w:r>
        <w:t>способностью использовать и применять углубленные знания в области прикладной математики и информатики (ОПК-4);</w:t>
      </w:r>
    </w:p>
    <w:p w:rsidR="00B32657" w:rsidRDefault="00B32657">
      <w:pPr>
        <w:pStyle w:val="ConsPlusNormal"/>
        <w:ind w:firstLine="540"/>
        <w:jc w:val="both"/>
      </w:pPr>
      <w:r>
        <w:t>способностью использовать углубленные знания правовых и этических норм при оценке последствий своей профессиональной деятельности, при разработке и осуществлении социально значимых проектов (ОПК-5).</w:t>
      </w:r>
    </w:p>
    <w:p w:rsidR="00B32657" w:rsidRDefault="00B32657">
      <w:pPr>
        <w:pStyle w:val="ConsPlusNormal"/>
        <w:ind w:firstLine="540"/>
        <w:jc w:val="both"/>
      </w:pPr>
      <w:r>
        <w:t xml:space="preserve">5.4. </w:t>
      </w:r>
      <w:proofErr w:type="gramStart"/>
      <w: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B32657" w:rsidRDefault="00B32657">
      <w:pPr>
        <w:pStyle w:val="ConsPlusNormal"/>
        <w:ind w:firstLine="540"/>
        <w:jc w:val="both"/>
      </w:pPr>
      <w:r w:rsidRPr="00873D2E">
        <w:rPr>
          <w:highlight w:val="yellow"/>
        </w:rPr>
        <w:t>научно-исследовательская деятельность:</w:t>
      </w:r>
    </w:p>
    <w:p w:rsidR="00B32657" w:rsidRDefault="00B32657">
      <w:pPr>
        <w:pStyle w:val="ConsPlusNormal"/>
        <w:ind w:firstLine="540"/>
        <w:jc w:val="both"/>
      </w:pPr>
      <w:r>
        <w:t>способностью проводить научные исследования и получать новые научные и прикладные результаты самостоятельно и в составе научного коллектива (ПК-1);</w:t>
      </w:r>
    </w:p>
    <w:p w:rsidR="00B32657" w:rsidRDefault="00B32657">
      <w:pPr>
        <w:pStyle w:val="ConsPlusNormal"/>
        <w:ind w:firstLine="540"/>
        <w:jc w:val="both"/>
      </w:pPr>
      <w:r>
        <w:t>способностью разрабатывать и анализировать концептуальные и теоретические модели решаемых научных проблем и задач (ПК-2);</w:t>
      </w:r>
    </w:p>
    <w:p w:rsidR="00B32657" w:rsidRDefault="00B32657">
      <w:pPr>
        <w:pStyle w:val="ConsPlusNormal"/>
        <w:ind w:firstLine="540"/>
        <w:jc w:val="both"/>
      </w:pPr>
      <w:r w:rsidRPr="00873D2E">
        <w:rPr>
          <w:highlight w:val="yellow"/>
        </w:rPr>
        <w:t>проектная и производственно-технологическая деятельность:</w:t>
      </w:r>
    </w:p>
    <w:p w:rsidR="00B32657" w:rsidRDefault="00B32657">
      <w:pPr>
        <w:pStyle w:val="ConsPlusNormal"/>
        <w:ind w:firstLine="540"/>
        <w:jc w:val="both"/>
      </w:pPr>
      <w:r>
        <w:t>способностью разрабатывать и применять математические методы, системное и прикладное программное обеспечение для решения задач научной и проектно-технологической деятельности (ПК-3);</w:t>
      </w:r>
    </w:p>
    <w:p w:rsidR="00B32657" w:rsidRDefault="00B32657">
      <w:pPr>
        <w:pStyle w:val="ConsPlusNormal"/>
        <w:ind w:firstLine="540"/>
        <w:jc w:val="both"/>
      </w:pPr>
      <w:r>
        <w:t>способностью разрабатывать и анализировать концептуальные и теоретические модели решаемых задач проектной и производственно-технологической деятельности (ПК-4);</w:t>
      </w:r>
    </w:p>
    <w:p w:rsidR="00B32657" w:rsidRDefault="00B32657">
      <w:pPr>
        <w:pStyle w:val="ConsPlusNormal"/>
        <w:ind w:firstLine="540"/>
        <w:jc w:val="both"/>
      </w:pPr>
      <w:r w:rsidRPr="00873D2E">
        <w:rPr>
          <w:highlight w:val="yellow"/>
        </w:rPr>
        <w:t>организационно-управленческая деятельность:</w:t>
      </w:r>
    </w:p>
    <w:p w:rsidR="00B32657" w:rsidRDefault="00B32657">
      <w:pPr>
        <w:pStyle w:val="ConsPlusNormal"/>
        <w:ind w:firstLine="540"/>
        <w:jc w:val="both"/>
      </w:pPr>
      <w:r>
        <w:t>способностью управлять проектами, планировать научно-исследовательскую деятельность, анализировать риски, управлять командой проекта (ПК-5);</w:t>
      </w:r>
    </w:p>
    <w:p w:rsidR="00B32657" w:rsidRDefault="00B32657">
      <w:pPr>
        <w:pStyle w:val="ConsPlusNormal"/>
        <w:ind w:firstLine="540"/>
        <w:jc w:val="both"/>
      </w:pPr>
      <w:r>
        <w:t>способностью организовывать процессы корпоративного обучения на основе информационных технологий и развития корпоративных баз знаний (ПК-6);</w:t>
      </w:r>
    </w:p>
    <w:p w:rsidR="00B32657" w:rsidRDefault="00B32657">
      <w:pPr>
        <w:pStyle w:val="ConsPlusNormal"/>
        <w:ind w:firstLine="540"/>
        <w:jc w:val="both"/>
      </w:pPr>
      <w:r>
        <w:t>способностью разрабатывать и оптимизировать бизнес-планы научно-прикладных проектов (ПК-7);</w:t>
      </w:r>
    </w:p>
    <w:p w:rsidR="00B32657" w:rsidRDefault="00B32657">
      <w:pPr>
        <w:pStyle w:val="ConsPlusNormal"/>
        <w:ind w:firstLine="540"/>
        <w:jc w:val="both"/>
      </w:pPr>
      <w:r w:rsidRPr="00873D2E">
        <w:rPr>
          <w:highlight w:val="yellow"/>
        </w:rPr>
        <w:t>нормативно-методическая деятельность:</w:t>
      </w:r>
    </w:p>
    <w:p w:rsidR="00B32657" w:rsidRDefault="00B32657">
      <w:pPr>
        <w:pStyle w:val="ConsPlusNormal"/>
        <w:ind w:firstLine="540"/>
        <w:jc w:val="both"/>
      </w:pPr>
      <w:r>
        <w:t>способностью разрабатывать корпоративные стандарты и профили функциональной стандартизации приложений, систем, информационной инфраструктуры (ПК-8);</w:t>
      </w:r>
    </w:p>
    <w:p w:rsidR="00B32657" w:rsidRDefault="00B32657">
      <w:pPr>
        <w:pStyle w:val="ConsPlusNormal"/>
        <w:ind w:firstLine="540"/>
        <w:jc w:val="both"/>
      </w:pPr>
      <w:r w:rsidRPr="00873D2E">
        <w:rPr>
          <w:highlight w:val="yellow"/>
        </w:rPr>
        <w:t>педагогическая деятельность:</w:t>
      </w:r>
    </w:p>
    <w:p w:rsidR="00B32657" w:rsidRDefault="00B32657">
      <w:pPr>
        <w:pStyle w:val="ConsPlusNormal"/>
        <w:ind w:firstLine="540"/>
        <w:jc w:val="both"/>
      </w:pPr>
      <w:r>
        <w:t>способностью к преподаванию математических дисциплин и информатики в общеобразовательных организациях, профессиональных образовательных организациях и образовательных организациях высшего образования (ПК-9);</w:t>
      </w:r>
    </w:p>
    <w:p w:rsidR="00B32657" w:rsidRDefault="00B32657">
      <w:pPr>
        <w:pStyle w:val="ConsPlusNormal"/>
        <w:ind w:firstLine="540"/>
        <w:jc w:val="both"/>
      </w:pPr>
      <w:r>
        <w:t>способностью разрабатывать учебно-методические комплексы для электронного обучения (ПК-10);</w:t>
      </w:r>
    </w:p>
    <w:p w:rsidR="00B32657" w:rsidRDefault="00B32657">
      <w:pPr>
        <w:pStyle w:val="ConsPlusNormal"/>
        <w:ind w:firstLine="540"/>
        <w:jc w:val="both"/>
      </w:pPr>
      <w:r w:rsidRPr="00873D2E">
        <w:rPr>
          <w:highlight w:val="yellow"/>
        </w:rPr>
        <w:t>консалтинговая деятельность:</w:t>
      </w:r>
    </w:p>
    <w:p w:rsidR="00B32657" w:rsidRDefault="00B32657">
      <w:pPr>
        <w:pStyle w:val="ConsPlusNormal"/>
        <w:ind w:firstLine="540"/>
        <w:jc w:val="both"/>
      </w:pPr>
      <w:r>
        <w:t>способностью разрабатывать аналитические обзоры состояния области прикладной математики и информационных технологий (ПК-11);</w:t>
      </w:r>
    </w:p>
    <w:p w:rsidR="00B32657" w:rsidRDefault="00B32657">
      <w:pPr>
        <w:pStyle w:val="ConsPlusNormal"/>
        <w:ind w:firstLine="540"/>
        <w:jc w:val="both"/>
      </w:pPr>
      <w:proofErr w:type="spellStart"/>
      <w:r w:rsidRPr="00873D2E">
        <w:rPr>
          <w:highlight w:val="yellow"/>
        </w:rPr>
        <w:lastRenderedPageBreak/>
        <w:t>консорциумная</w:t>
      </w:r>
      <w:proofErr w:type="spellEnd"/>
      <w:r w:rsidRPr="00873D2E">
        <w:rPr>
          <w:highlight w:val="yellow"/>
        </w:rPr>
        <w:t xml:space="preserve"> деятельность:</w:t>
      </w:r>
    </w:p>
    <w:p w:rsidR="00B32657" w:rsidRDefault="00B32657">
      <w:pPr>
        <w:pStyle w:val="ConsPlusNormal"/>
        <w:ind w:firstLine="540"/>
        <w:jc w:val="both"/>
      </w:pPr>
      <w:r>
        <w:t>способностью к взаимодействию в рамках международных проектов и сетевых сообществ в области прикладной математики и информационных технологий (ПК-12);</w:t>
      </w:r>
    </w:p>
    <w:p w:rsidR="00B32657" w:rsidRDefault="00B32657">
      <w:pPr>
        <w:pStyle w:val="ConsPlusNormal"/>
        <w:ind w:firstLine="540"/>
        <w:jc w:val="both"/>
      </w:pPr>
      <w:r w:rsidRPr="00873D2E">
        <w:rPr>
          <w:highlight w:val="yellow"/>
        </w:rPr>
        <w:t>социально-ориентированная деятельность:</w:t>
      </w:r>
    </w:p>
    <w:p w:rsidR="00B32657" w:rsidRDefault="00B32657">
      <w:pPr>
        <w:pStyle w:val="ConsPlusNormal"/>
        <w:ind w:firstLine="540"/>
        <w:jc w:val="both"/>
      </w:pPr>
      <w:r>
        <w:t>способностью осознавать корпоративную политику в области повышения социальной ответственности бизнеса перед обществом, принимать участие в ее развитии (ПК-13).</w:t>
      </w:r>
    </w:p>
    <w:p w:rsidR="00B32657" w:rsidRDefault="00B32657">
      <w:pPr>
        <w:pStyle w:val="ConsPlusNormal"/>
        <w:ind w:firstLine="540"/>
        <w:jc w:val="both"/>
      </w:pPr>
      <w:r>
        <w:t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B32657" w:rsidRDefault="00B32657">
      <w:pPr>
        <w:pStyle w:val="ConsPlusNormal"/>
        <w:ind w:firstLine="540"/>
        <w:jc w:val="both"/>
      </w:pPr>
      <w: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B32657" w:rsidRDefault="00B32657">
      <w:pPr>
        <w:pStyle w:val="ConsPlusNormal"/>
        <w:ind w:firstLine="540"/>
        <w:jc w:val="both"/>
      </w:pPr>
      <w:r>
        <w:t xml:space="preserve">5.7. При разработке программы магистратуры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jc w:val="center"/>
      </w:pPr>
      <w:r>
        <w:t>VI. ТРЕБОВАНИЯ К СТРУКТУРЕ ПРОГРАММЫ МАГИСТРАТУРЫ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ind w:firstLine="540"/>
        <w:jc w:val="both"/>
      </w:pPr>
      <w: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B32657" w:rsidRDefault="00B32657">
      <w:pPr>
        <w:pStyle w:val="ConsPlusNormal"/>
        <w:ind w:firstLine="540"/>
        <w:jc w:val="both"/>
      </w:pPr>
      <w:r>
        <w:t>6.2. Программа магистратуры состоит из следующих блоков:</w:t>
      </w:r>
    </w:p>
    <w:p w:rsidR="00B32657" w:rsidRDefault="00D81D2B">
      <w:pPr>
        <w:pStyle w:val="ConsPlusNormal"/>
        <w:ind w:firstLine="540"/>
        <w:jc w:val="both"/>
      </w:pPr>
      <w:hyperlink w:anchor="P190" w:history="1">
        <w:r w:rsidR="00B32657">
          <w:rPr>
            <w:color w:val="0000FF"/>
          </w:rPr>
          <w:t>Блок 1</w:t>
        </w:r>
      </w:hyperlink>
      <w:r w:rsidR="00B32657"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B32657" w:rsidRDefault="00D81D2B">
      <w:pPr>
        <w:pStyle w:val="ConsPlusNormal"/>
        <w:ind w:firstLine="540"/>
        <w:jc w:val="both"/>
      </w:pPr>
      <w:hyperlink w:anchor="P197" w:history="1">
        <w:r w:rsidR="00B32657">
          <w:rPr>
            <w:color w:val="0000FF"/>
          </w:rPr>
          <w:t>Блок 2</w:t>
        </w:r>
      </w:hyperlink>
      <w:r w:rsidR="00B32657">
        <w:t xml:space="preserve">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B32657" w:rsidRDefault="00D81D2B">
      <w:pPr>
        <w:pStyle w:val="ConsPlusNormal"/>
        <w:ind w:firstLine="540"/>
        <w:jc w:val="both"/>
      </w:pPr>
      <w:hyperlink w:anchor="P197" w:history="1">
        <w:r w:rsidR="00B32657">
          <w:rPr>
            <w:color w:val="0000FF"/>
          </w:rPr>
          <w:t>Блок 3</w:t>
        </w:r>
      </w:hyperlink>
      <w:r w:rsidR="00B32657"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B32657" w:rsidRDefault="00B32657">
      <w:pPr>
        <w:pStyle w:val="ConsPlusNormal"/>
        <w:ind w:firstLine="540"/>
        <w:jc w:val="both"/>
      </w:pPr>
      <w:r>
        <w:t>--------------------------------</w:t>
      </w:r>
    </w:p>
    <w:p w:rsidR="00B32657" w:rsidRDefault="00B32657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магистратуры,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 и от 25 марта 2015 г. N 270 (зарегистрирован Министерством юстиции Российской Федерации 22 апреля 2015 г., регистрационный N</w:t>
      </w:r>
      <w:proofErr w:type="gramEnd"/>
      <w:r>
        <w:t xml:space="preserve"> 36994).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jc w:val="center"/>
      </w:pPr>
      <w:r>
        <w:t>Структура программы магистратуры</w:t>
      </w:r>
    </w:p>
    <w:p w:rsidR="00B32657" w:rsidRDefault="00B32657">
      <w:pPr>
        <w:sectPr w:rsidR="00B32657" w:rsidSect="00E500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jc w:val="right"/>
      </w:pPr>
      <w:r>
        <w:t>Таблица 1</w:t>
      </w:r>
    </w:p>
    <w:p w:rsidR="00B32657" w:rsidRDefault="00B326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2"/>
        <w:gridCol w:w="6480"/>
        <w:gridCol w:w="2197"/>
      </w:tblGrid>
      <w:tr w:rsidR="00B32657">
        <w:tc>
          <w:tcPr>
            <w:tcW w:w="7442" w:type="dxa"/>
            <w:gridSpan w:val="2"/>
          </w:tcPr>
          <w:p w:rsidR="00B32657" w:rsidRDefault="00B32657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2197" w:type="dxa"/>
          </w:tcPr>
          <w:p w:rsidR="00B32657" w:rsidRDefault="00B32657">
            <w:pPr>
              <w:pStyle w:val="ConsPlusNormal"/>
              <w:jc w:val="center"/>
            </w:pPr>
            <w:r>
              <w:t xml:space="preserve">Объем программы магистратуры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B32657">
        <w:tc>
          <w:tcPr>
            <w:tcW w:w="962" w:type="dxa"/>
            <w:vMerge w:val="restart"/>
          </w:tcPr>
          <w:p w:rsidR="00B32657" w:rsidRDefault="00B32657">
            <w:pPr>
              <w:pStyle w:val="ConsPlusNormal"/>
            </w:pPr>
            <w:bookmarkStart w:id="1" w:name="P190"/>
            <w:bookmarkEnd w:id="1"/>
            <w:r>
              <w:t>Блок 1</w:t>
            </w:r>
          </w:p>
        </w:tc>
        <w:tc>
          <w:tcPr>
            <w:tcW w:w="6480" w:type="dxa"/>
          </w:tcPr>
          <w:p w:rsidR="00B32657" w:rsidRDefault="00B32657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197" w:type="dxa"/>
            <w:vAlign w:val="center"/>
          </w:tcPr>
          <w:p w:rsidR="00B32657" w:rsidRDefault="00B32657">
            <w:pPr>
              <w:pStyle w:val="ConsPlusNormal"/>
              <w:jc w:val="center"/>
            </w:pPr>
            <w:r>
              <w:t>60 - 69</w:t>
            </w:r>
          </w:p>
        </w:tc>
      </w:tr>
      <w:tr w:rsidR="00B32657">
        <w:tc>
          <w:tcPr>
            <w:tcW w:w="962" w:type="dxa"/>
            <w:vMerge/>
          </w:tcPr>
          <w:p w:rsidR="00B32657" w:rsidRDefault="00B32657"/>
        </w:tc>
        <w:tc>
          <w:tcPr>
            <w:tcW w:w="6480" w:type="dxa"/>
          </w:tcPr>
          <w:p w:rsidR="00B32657" w:rsidRDefault="00B32657">
            <w:pPr>
              <w:pStyle w:val="ConsPlusNormal"/>
            </w:pPr>
            <w:r>
              <w:t>Базовая часть</w:t>
            </w:r>
          </w:p>
        </w:tc>
        <w:tc>
          <w:tcPr>
            <w:tcW w:w="2197" w:type="dxa"/>
            <w:vAlign w:val="center"/>
          </w:tcPr>
          <w:p w:rsidR="00B32657" w:rsidRDefault="00B32657">
            <w:pPr>
              <w:pStyle w:val="ConsPlusNormal"/>
              <w:jc w:val="center"/>
            </w:pPr>
            <w:r>
              <w:t>21 - 27</w:t>
            </w:r>
          </w:p>
        </w:tc>
      </w:tr>
      <w:tr w:rsidR="00B32657">
        <w:tc>
          <w:tcPr>
            <w:tcW w:w="962" w:type="dxa"/>
            <w:vMerge/>
          </w:tcPr>
          <w:p w:rsidR="00B32657" w:rsidRDefault="00B32657"/>
        </w:tc>
        <w:tc>
          <w:tcPr>
            <w:tcW w:w="6480" w:type="dxa"/>
          </w:tcPr>
          <w:p w:rsidR="00B32657" w:rsidRDefault="00B32657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197" w:type="dxa"/>
            <w:vAlign w:val="center"/>
          </w:tcPr>
          <w:p w:rsidR="00B32657" w:rsidRDefault="00B32657">
            <w:pPr>
              <w:pStyle w:val="ConsPlusNormal"/>
              <w:jc w:val="center"/>
            </w:pPr>
            <w:r>
              <w:t>33 - 48</w:t>
            </w:r>
          </w:p>
        </w:tc>
      </w:tr>
      <w:tr w:rsidR="00B32657">
        <w:tc>
          <w:tcPr>
            <w:tcW w:w="962" w:type="dxa"/>
            <w:vMerge w:val="restart"/>
          </w:tcPr>
          <w:p w:rsidR="00B32657" w:rsidRDefault="00B32657">
            <w:pPr>
              <w:pStyle w:val="ConsPlusNormal"/>
            </w:pPr>
            <w:bookmarkStart w:id="2" w:name="P197"/>
            <w:bookmarkEnd w:id="2"/>
            <w:r>
              <w:t>Блок 2</w:t>
            </w:r>
          </w:p>
        </w:tc>
        <w:tc>
          <w:tcPr>
            <w:tcW w:w="6480" w:type="dxa"/>
          </w:tcPr>
          <w:p w:rsidR="00B32657" w:rsidRDefault="00B32657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197" w:type="dxa"/>
            <w:vAlign w:val="center"/>
          </w:tcPr>
          <w:p w:rsidR="00B32657" w:rsidRDefault="00B32657">
            <w:pPr>
              <w:pStyle w:val="ConsPlusNormal"/>
              <w:jc w:val="center"/>
            </w:pPr>
            <w:r>
              <w:t>42 - 54</w:t>
            </w:r>
          </w:p>
        </w:tc>
      </w:tr>
      <w:tr w:rsidR="00B32657">
        <w:tc>
          <w:tcPr>
            <w:tcW w:w="962" w:type="dxa"/>
            <w:vMerge/>
          </w:tcPr>
          <w:p w:rsidR="00B32657" w:rsidRDefault="00B32657"/>
        </w:tc>
        <w:tc>
          <w:tcPr>
            <w:tcW w:w="6480" w:type="dxa"/>
          </w:tcPr>
          <w:p w:rsidR="00B32657" w:rsidRDefault="00B32657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197" w:type="dxa"/>
            <w:vAlign w:val="center"/>
          </w:tcPr>
          <w:p w:rsidR="00B32657" w:rsidRDefault="00B32657">
            <w:pPr>
              <w:pStyle w:val="ConsPlusNormal"/>
              <w:jc w:val="center"/>
            </w:pPr>
            <w:r>
              <w:t>42 - 54</w:t>
            </w:r>
          </w:p>
        </w:tc>
      </w:tr>
      <w:tr w:rsidR="00B32657">
        <w:tc>
          <w:tcPr>
            <w:tcW w:w="962" w:type="dxa"/>
            <w:vMerge w:val="restart"/>
          </w:tcPr>
          <w:p w:rsidR="00B32657" w:rsidRDefault="00B32657">
            <w:pPr>
              <w:pStyle w:val="ConsPlusNormal"/>
            </w:pPr>
            <w:bookmarkStart w:id="3" w:name="P202"/>
            <w:bookmarkEnd w:id="3"/>
            <w:r>
              <w:t>Блок 3</w:t>
            </w:r>
          </w:p>
        </w:tc>
        <w:tc>
          <w:tcPr>
            <w:tcW w:w="6480" w:type="dxa"/>
          </w:tcPr>
          <w:p w:rsidR="00B32657" w:rsidRDefault="00B32657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197" w:type="dxa"/>
            <w:vAlign w:val="center"/>
          </w:tcPr>
          <w:p w:rsidR="00B32657" w:rsidRDefault="00B32657">
            <w:pPr>
              <w:pStyle w:val="ConsPlusNormal"/>
              <w:jc w:val="center"/>
            </w:pPr>
            <w:r>
              <w:t>6 - 9</w:t>
            </w:r>
          </w:p>
        </w:tc>
      </w:tr>
      <w:tr w:rsidR="00B32657">
        <w:tc>
          <w:tcPr>
            <w:tcW w:w="962" w:type="dxa"/>
            <w:vMerge/>
          </w:tcPr>
          <w:p w:rsidR="00B32657" w:rsidRDefault="00B32657"/>
        </w:tc>
        <w:tc>
          <w:tcPr>
            <w:tcW w:w="6480" w:type="dxa"/>
          </w:tcPr>
          <w:p w:rsidR="00B32657" w:rsidRDefault="00B32657">
            <w:pPr>
              <w:pStyle w:val="ConsPlusNormal"/>
            </w:pPr>
            <w:r>
              <w:t>Базовая часть</w:t>
            </w:r>
          </w:p>
        </w:tc>
        <w:tc>
          <w:tcPr>
            <w:tcW w:w="2197" w:type="dxa"/>
            <w:vAlign w:val="center"/>
          </w:tcPr>
          <w:p w:rsidR="00B32657" w:rsidRDefault="00B32657">
            <w:pPr>
              <w:pStyle w:val="ConsPlusNormal"/>
              <w:jc w:val="center"/>
            </w:pPr>
            <w:r>
              <w:t>6 - 9</w:t>
            </w:r>
          </w:p>
        </w:tc>
      </w:tr>
      <w:tr w:rsidR="00B32657">
        <w:tc>
          <w:tcPr>
            <w:tcW w:w="7442" w:type="dxa"/>
            <w:gridSpan w:val="2"/>
          </w:tcPr>
          <w:p w:rsidR="00B32657" w:rsidRDefault="00B32657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2197" w:type="dxa"/>
            <w:vAlign w:val="center"/>
          </w:tcPr>
          <w:p w:rsidR="00B32657" w:rsidRDefault="00B32657">
            <w:pPr>
              <w:pStyle w:val="ConsPlusNormal"/>
              <w:jc w:val="center"/>
            </w:pPr>
            <w:r>
              <w:t>120</w:t>
            </w:r>
          </w:p>
        </w:tc>
      </w:tr>
    </w:tbl>
    <w:p w:rsidR="00B32657" w:rsidRDefault="00B32657">
      <w:pPr>
        <w:sectPr w:rsidR="00B32657">
          <w:pgSz w:w="16838" w:h="11905"/>
          <w:pgMar w:top="1701" w:right="1134" w:bottom="850" w:left="1134" w:header="0" w:footer="0" w:gutter="0"/>
          <w:cols w:space="720"/>
        </w:sectPr>
      </w:pP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B32657" w:rsidRDefault="00B32657">
      <w:pPr>
        <w:pStyle w:val="ConsPlusNormal"/>
        <w:ind w:firstLine="540"/>
        <w:jc w:val="both"/>
      </w:pPr>
      <w: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190" w:history="1">
        <w:r>
          <w:rPr>
            <w:color w:val="0000FF"/>
          </w:rPr>
          <w:t>Блока 1</w:t>
        </w:r>
      </w:hyperlink>
      <w:r>
        <w:t xml:space="preserve"> "Дисциплины (модули)" и </w:t>
      </w:r>
      <w:hyperlink w:anchor="P197" w:history="1">
        <w:r>
          <w:rPr>
            <w:color w:val="0000FF"/>
          </w:rPr>
          <w:t>Блока 2</w:t>
        </w:r>
      </w:hyperlink>
      <w: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B32657" w:rsidRDefault="00B32657">
      <w:pPr>
        <w:pStyle w:val="ConsPlusNormal"/>
        <w:ind w:firstLine="540"/>
        <w:jc w:val="both"/>
      </w:pPr>
      <w:r>
        <w:t xml:space="preserve">6.5. В </w:t>
      </w:r>
      <w:hyperlink w:anchor="P197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входит производственная, в том числе преддипломная практики.</w:t>
      </w:r>
    </w:p>
    <w:p w:rsidR="00B32657" w:rsidRDefault="00B32657">
      <w:pPr>
        <w:pStyle w:val="ConsPlusNormal"/>
        <w:ind w:firstLine="540"/>
        <w:jc w:val="both"/>
      </w:pPr>
      <w:r>
        <w:t>Типы производственной практики:</w:t>
      </w:r>
    </w:p>
    <w:p w:rsidR="00B32657" w:rsidRDefault="00B32657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B32657" w:rsidRDefault="00B32657">
      <w:pPr>
        <w:pStyle w:val="ConsPlusNormal"/>
        <w:ind w:firstLine="540"/>
        <w:jc w:val="both"/>
      </w:pPr>
      <w:r>
        <w:t>НИР.</w:t>
      </w:r>
    </w:p>
    <w:p w:rsidR="00B32657" w:rsidRDefault="00B32657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B32657" w:rsidRDefault="00B32657">
      <w:pPr>
        <w:pStyle w:val="ConsPlusNormal"/>
        <w:ind w:firstLine="540"/>
        <w:jc w:val="both"/>
      </w:pPr>
      <w:r>
        <w:t>стационарная;</w:t>
      </w:r>
    </w:p>
    <w:p w:rsidR="00B32657" w:rsidRDefault="00B32657">
      <w:pPr>
        <w:pStyle w:val="ConsPlusNormal"/>
        <w:ind w:firstLine="540"/>
        <w:jc w:val="both"/>
      </w:pPr>
      <w:r>
        <w:t>выездная.</w:t>
      </w:r>
    </w:p>
    <w:p w:rsidR="00B32657" w:rsidRDefault="00B32657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B32657" w:rsidRDefault="00B32657">
      <w:pPr>
        <w:pStyle w:val="ConsPlusNormal"/>
        <w:ind w:firstLine="540"/>
        <w:jc w:val="both"/>
      </w:pPr>
      <w: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B32657" w:rsidRDefault="00B32657">
      <w:pPr>
        <w:pStyle w:val="ConsPlusNormal"/>
        <w:ind w:firstLine="540"/>
        <w:jc w:val="both"/>
      </w:pPr>
      <w:r>
        <w:t>Производственная практика может проводиться в структурных подразделениях организации.</w:t>
      </w:r>
    </w:p>
    <w:p w:rsidR="00B32657" w:rsidRDefault="00B32657">
      <w:pPr>
        <w:pStyle w:val="ConsPlusNormal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B32657" w:rsidRDefault="00B32657">
      <w:pPr>
        <w:pStyle w:val="ConsPlusNormal"/>
        <w:ind w:firstLine="540"/>
        <w:jc w:val="both"/>
      </w:pPr>
      <w:r>
        <w:t xml:space="preserve">6.6. В </w:t>
      </w:r>
      <w:hyperlink w:anchor="P2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B32657" w:rsidRDefault="00B32657">
      <w:pPr>
        <w:pStyle w:val="ConsPlusNormal"/>
        <w:ind w:firstLine="540"/>
        <w:jc w:val="both"/>
      </w:pPr>
      <w:r>
        <w:t>6.7. Программы магистратуры, содержащие сведения, составляющие государственную тайну, разрабатываются и реализуются с соблюдением требований, предусмотренных законодательством Российской Федерации и нормативными правовыми актами в области защиты государственной тайны.</w:t>
      </w:r>
    </w:p>
    <w:p w:rsidR="00B32657" w:rsidRDefault="00B32657">
      <w:pPr>
        <w:pStyle w:val="ConsPlusNormal"/>
        <w:ind w:firstLine="540"/>
        <w:jc w:val="both"/>
      </w:pPr>
      <w:r>
        <w:t xml:space="preserve">6.8. </w:t>
      </w:r>
      <w:proofErr w:type="gramStart"/>
      <w:r>
        <w:t>Реализация части (частей) образовательной программы и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B32657" w:rsidRDefault="00B32657">
      <w:pPr>
        <w:pStyle w:val="ConsPlusNormal"/>
        <w:ind w:firstLine="540"/>
        <w:jc w:val="both"/>
      </w:pPr>
      <w:r>
        <w:t xml:space="preserve">6.9.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</w:t>
      </w:r>
      <w:hyperlink w:anchor="P190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B32657" w:rsidRDefault="00B32657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типа, в целом по </w:t>
      </w:r>
      <w:hyperlink w:anchor="P190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60 процентов от общего количества часов аудиторных занятий, отведенных на реализацию этого Блока.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jc w:val="center"/>
      </w:pPr>
      <w:r>
        <w:t>VII. ТРЕБОВАНИЯ К УСЛОВИЯМ РЕАЛИЗАЦИИ</w:t>
      </w:r>
    </w:p>
    <w:p w:rsidR="00B32657" w:rsidRDefault="00B32657">
      <w:pPr>
        <w:pStyle w:val="ConsPlusNormal"/>
        <w:jc w:val="center"/>
      </w:pPr>
      <w:r>
        <w:t>ПРОГРАММЫ МАГИСТРАТУРЫ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ind w:firstLine="540"/>
        <w:jc w:val="both"/>
      </w:pPr>
      <w:r>
        <w:t>7.1. Общесистемные требования к реализации программы магистратуры.</w:t>
      </w:r>
    </w:p>
    <w:p w:rsidR="00B32657" w:rsidRDefault="00B32657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B32657" w:rsidRDefault="00B32657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B32657" w:rsidRDefault="00B32657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B32657" w:rsidRDefault="00B32657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B32657" w:rsidRDefault="00B32657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B32657" w:rsidRDefault="00B32657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B32657" w:rsidRDefault="00B32657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B32657" w:rsidRDefault="00B32657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B32657" w:rsidRDefault="00B32657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B32657" w:rsidRDefault="00B32657">
      <w:pPr>
        <w:pStyle w:val="ConsPlusNormal"/>
        <w:ind w:firstLine="540"/>
        <w:jc w:val="both"/>
      </w:pPr>
      <w:r>
        <w:t>--------------------------------</w:t>
      </w:r>
    </w:p>
    <w:p w:rsidR="00B32657" w:rsidRDefault="00B32657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N 23, ст. 2927;</w:t>
      </w:r>
      <w:proofErr w:type="gramEnd"/>
      <w:r>
        <w:t xml:space="preserve"> </w:t>
      </w:r>
      <w:proofErr w:type="gramStart"/>
      <w:r>
        <w:t>N 30, ст. 4217, ст. 4243).</w:t>
      </w:r>
      <w:proofErr w:type="gramEnd"/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ind w:firstLine="540"/>
        <w:jc w:val="both"/>
      </w:pPr>
      <w: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B32657" w:rsidRDefault="00B32657">
      <w:pPr>
        <w:pStyle w:val="ConsPlusNormal"/>
        <w:ind w:firstLine="540"/>
        <w:jc w:val="both"/>
      </w:pPr>
      <w:r>
        <w:t xml:space="preserve"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</w:t>
      </w:r>
      <w:r>
        <w:lastRenderedPageBreak/>
        <w:t>организаций.</w:t>
      </w:r>
    </w:p>
    <w:p w:rsidR="00B32657" w:rsidRDefault="00B32657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B32657" w:rsidRDefault="00B32657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B32657" w:rsidRDefault="00B32657">
      <w:pPr>
        <w:pStyle w:val="ConsPlusNormal"/>
        <w:ind w:firstLine="540"/>
        <w:jc w:val="both"/>
      </w:pPr>
      <w:r>
        <w:t xml:space="preserve">7.1.7. </w:t>
      </w:r>
      <w:proofErr w:type="gramStart"/>
      <w: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или </w:t>
      </w:r>
      <w:proofErr w:type="spellStart"/>
      <w:r>
        <w:t>Scopus</w:t>
      </w:r>
      <w:proofErr w:type="spellEnd"/>
      <w:r>
        <w:t>, и не менее 20 в журналах, индексируемых в Российском индексе научного цитирования.</w:t>
      </w:r>
      <w:proofErr w:type="gramEnd"/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ind w:firstLine="540"/>
        <w:jc w:val="both"/>
      </w:pPr>
      <w:r>
        <w:t>7.2. Требования к кадровым условиям реализации программы магистратуры.</w:t>
      </w:r>
    </w:p>
    <w:p w:rsidR="00B32657" w:rsidRDefault="00B32657">
      <w:pPr>
        <w:pStyle w:val="ConsPlusNormal"/>
        <w:ind w:firstLine="540"/>
        <w:jc w:val="both"/>
      </w:pPr>
      <w: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B32657" w:rsidRDefault="00B32657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соответствующие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B32657" w:rsidRDefault="00B32657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B32657" w:rsidRDefault="00B32657">
      <w:pPr>
        <w:pStyle w:val="ConsPlusNormal"/>
        <w:ind w:firstLine="540"/>
        <w:jc w:val="both"/>
      </w:pPr>
      <w:r>
        <w:t>70 процентов для программы академической магистратуры;</w:t>
      </w:r>
    </w:p>
    <w:p w:rsidR="00B32657" w:rsidRDefault="00B32657">
      <w:pPr>
        <w:pStyle w:val="ConsPlusNormal"/>
        <w:ind w:firstLine="540"/>
        <w:jc w:val="both"/>
      </w:pPr>
      <w:r>
        <w:t>50 процентов для программы прикладной магистратуры.</w:t>
      </w:r>
    </w:p>
    <w:p w:rsidR="00B32657" w:rsidRDefault="00B32657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B32657" w:rsidRDefault="00B32657">
      <w:pPr>
        <w:pStyle w:val="ConsPlusNormal"/>
        <w:ind w:firstLine="540"/>
        <w:jc w:val="both"/>
      </w:pPr>
      <w:r>
        <w:t>5 процентов для программы академической магистратуры;</w:t>
      </w:r>
    </w:p>
    <w:p w:rsidR="00B32657" w:rsidRDefault="00B32657">
      <w:pPr>
        <w:pStyle w:val="ConsPlusNormal"/>
        <w:ind w:firstLine="540"/>
        <w:jc w:val="both"/>
      </w:pPr>
      <w:r>
        <w:t>10 процентов для программы прикладной магистратуры.</w:t>
      </w:r>
    </w:p>
    <w:p w:rsidR="00B32657" w:rsidRDefault="00B32657">
      <w:pPr>
        <w:pStyle w:val="ConsPlusNormal"/>
        <w:ind w:firstLine="540"/>
        <w:jc w:val="both"/>
      </w:pPr>
      <w:r>
        <w:t xml:space="preserve">7.2.5. </w:t>
      </w:r>
      <w:proofErr w:type="gramStart"/>
      <w: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t xml:space="preserve"> научных журналах и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 магистратуры.</w:t>
      </w:r>
    </w:p>
    <w:p w:rsidR="00B32657" w:rsidRDefault="00B32657">
      <w:pPr>
        <w:pStyle w:val="ConsPlusNormal"/>
        <w:ind w:firstLine="540"/>
        <w:jc w:val="both"/>
      </w:pPr>
      <w:r>
        <w:t xml:space="preserve">7.3.1. Специальные помещения должны представлять собой учебные аудитории для </w:t>
      </w:r>
      <w:r>
        <w:lastRenderedPageBreak/>
        <w:t>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B32657" w:rsidRDefault="00B32657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B32657" w:rsidRDefault="00B32657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B32657" w:rsidRDefault="00B32657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B32657" w:rsidRDefault="00B32657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B32657" w:rsidRDefault="00B32657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B32657" w:rsidRDefault="00B32657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B32657" w:rsidRDefault="00B32657">
      <w:pPr>
        <w:pStyle w:val="ConsPlusNormal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B32657" w:rsidRDefault="00B32657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B32657" w:rsidRDefault="00B32657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ind w:firstLine="540"/>
        <w:jc w:val="both"/>
      </w:pPr>
      <w:r>
        <w:t>7.4. Требования к финансовым условиям реализации программ магистратуры.</w:t>
      </w:r>
    </w:p>
    <w:p w:rsidR="00B32657" w:rsidRDefault="00B32657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jc w:val="both"/>
      </w:pPr>
    </w:p>
    <w:p w:rsidR="00B32657" w:rsidRDefault="00B326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92774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32657"/>
    <w:rsid w:val="003B6048"/>
    <w:rsid w:val="00474B04"/>
    <w:rsid w:val="008418C4"/>
    <w:rsid w:val="00873D2E"/>
    <w:rsid w:val="0097040E"/>
    <w:rsid w:val="009A5B44"/>
    <w:rsid w:val="009E28CE"/>
    <w:rsid w:val="00B32657"/>
    <w:rsid w:val="00B93046"/>
    <w:rsid w:val="00D81D2B"/>
    <w:rsid w:val="00DC41E0"/>
    <w:rsid w:val="00ED4DB6"/>
    <w:rsid w:val="00F4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2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26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B52061FF1944A93E38755265D65D0614008B10B8AC59DD8B36D766D9CC9A06210410898D596EAEx3J3J" TargetMode="External"/><Relationship Id="rId13" Type="http://schemas.openxmlformats.org/officeDocument/2006/relationships/hyperlink" Target="consultantplus://offline/ref=F0B52061FF1944A93E38755265D65D06140D8F14BCAA59DD8B36D766D9CC9A06210410898D5967AAx3J4J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B52061FF1944A93E38755265D65D0614098B11BCAA59DD8B36D766D9xCJCJ" TargetMode="External"/><Relationship Id="rId12" Type="http://schemas.openxmlformats.org/officeDocument/2006/relationships/hyperlink" Target="consultantplus://offline/ref=F0B52061FF1944A93E38755265D65D0614098F11BDAC59DD8B36D766D9CC9A06210410898D5967AAx3J6J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B52061FF1944A93E38755265D65D06140E8513BCAD59DD8B36D766D9CC9A06210410898D5967AFx3J4J" TargetMode="External"/><Relationship Id="rId11" Type="http://schemas.openxmlformats.org/officeDocument/2006/relationships/hyperlink" Target="consultantplus://offline/ref=F0B52061FF1944A93E38755265D65D06140F8512B8A359DD8B36D766D9xCJCJ" TargetMode="External"/><Relationship Id="rId5" Type="http://schemas.openxmlformats.org/officeDocument/2006/relationships/hyperlink" Target="consultantplus://offline/ref=F0B52061FF1944A93E38755265D65D0614008A1DBFAC59DD8B36D766D9CC9A06210410898D5967ADx3J7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0B52061FF1944A93E38755265D65D06140F8512B9AB59DD8B36D766D9xCJC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0B52061FF1944A93E38755265D65D0614008A1DB9AB59DD8B36D766D9CC9A06210410898D5961ADx3JF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6BAD96F-B862-4A77-9774-7BFD25FD6D6F}"/>
</file>

<file path=customXml/itemProps2.xml><?xml version="1.0" encoding="utf-8"?>
<ds:datastoreItem xmlns:ds="http://schemas.openxmlformats.org/officeDocument/2006/customXml" ds:itemID="{433B840F-E562-49CD-AE06-B72822F1D992}"/>
</file>

<file path=customXml/itemProps3.xml><?xml version="1.0" encoding="utf-8"?>
<ds:datastoreItem xmlns:ds="http://schemas.openxmlformats.org/officeDocument/2006/customXml" ds:itemID="{6CBDF189-00FD-4189-A59A-E51ADAA432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5804</Words>
  <Characters>33083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3</cp:revision>
  <dcterms:created xsi:type="dcterms:W3CDTF">2015-11-20T09:09:00Z</dcterms:created>
  <dcterms:modified xsi:type="dcterms:W3CDTF">2017-01-16T05:43:00Z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