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4" w:rsidRDefault="001804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0434" w:rsidRDefault="00180434">
      <w:pPr>
        <w:pStyle w:val="ConsPlusNormal"/>
        <w:jc w:val="both"/>
        <w:outlineLvl w:val="0"/>
      </w:pPr>
    </w:p>
    <w:p w:rsidR="00180434" w:rsidRDefault="00180434">
      <w:pPr>
        <w:pStyle w:val="ConsPlusNormal"/>
        <w:outlineLvl w:val="0"/>
      </w:pPr>
      <w:r>
        <w:t>Зарегистрировано в Минюсте России 27 июня 2017 г. N 47195</w:t>
      </w:r>
    </w:p>
    <w:p w:rsidR="00180434" w:rsidRDefault="00180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80434" w:rsidRDefault="00180434">
      <w:pPr>
        <w:pStyle w:val="ConsPlusTitle"/>
        <w:jc w:val="center"/>
      </w:pPr>
    </w:p>
    <w:p w:rsidR="00180434" w:rsidRDefault="00180434">
      <w:pPr>
        <w:pStyle w:val="ConsPlusTitle"/>
        <w:jc w:val="center"/>
      </w:pPr>
      <w:r>
        <w:t>ПРИКАЗ</w:t>
      </w:r>
    </w:p>
    <w:p w:rsidR="00180434" w:rsidRDefault="00180434">
      <w:pPr>
        <w:pStyle w:val="ConsPlusTitle"/>
        <w:jc w:val="center"/>
      </w:pPr>
      <w:r>
        <w:t>от 8 июня 2017 г. N 509</w:t>
      </w:r>
    </w:p>
    <w:p w:rsidR="00180434" w:rsidRDefault="00180434">
      <w:pPr>
        <w:pStyle w:val="ConsPlusTitle"/>
        <w:jc w:val="center"/>
      </w:pPr>
    </w:p>
    <w:p w:rsidR="00180434" w:rsidRDefault="00180434">
      <w:pPr>
        <w:pStyle w:val="ConsPlusTitle"/>
        <w:jc w:val="center"/>
      </w:pPr>
      <w:r>
        <w:t>ОБ УТВЕРЖДЕНИИ</w:t>
      </w:r>
    </w:p>
    <w:p w:rsidR="00180434" w:rsidRDefault="0018043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80434" w:rsidRDefault="0018043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80434" w:rsidRDefault="00180434">
      <w:pPr>
        <w:pStyle w:val="ConsPlusTitle"/>
        <w:jc w:val="center"/>
      </w:pPr>
      <w:r>
        <w:t>07.03.01 АРХИТЕКТУРА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07.03.01 Архитектура (далее - стандарт).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07.03.01 Архитектура (уровень бакалавриата), утвержденным приказом Министерства образования и науки Российской Федерации от 21 апреля 2016 г. N 463 (зарегистрирован Министерством юстиции Российской Федерации 18 мая 2016 г., регистрационный N 42143), прекращается 31 декабря 2018 года.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right"/>
      </w:pPr>
      <w:r>
        <w:t>Министр</w:t>
      </w:r>
    </w:p>
    <w:p w:rsidR="00180434" w:rsidRDefault="00180434">
      <w:pPr>
        <w:pStyle w:val="ConsPlusNormal"/>
        <w:jc w:val="right"/>
      </w:pPr>
      <w:r>
        <w:t>О.Ю.ВАСИЛЬЕВА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right"/>
        <w:outlineLvl w:val="0"/>
      </w:pPr>
      <w:r>
        <w:t>Приложение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right"/>
      </w:pPr>
      <w:r>
        <w:t>Утвержден</w:t>
      </w:r>
    </w:p>
    <w:p w:rsidR="00180434" w:rsidRDefault="00180434">
      <w:pPr>
        <w:pStyle w:val="ConsPlusNormal"/>
        <w:jc w:val="right"/>
      </w:pPr>
      <w:r>
        <w:t>приказом Министерства образования</w:t>
      </w:r>
    </w:p>
    <w:p w:rsidR="00180434" w:rsidRDefault="00180434">
      <w:pPr>
        <w:pStyle w:val="ConsPlusNormal"/>
        <w:jc w:val="right"/>
      </w:pPr>
      <w:r>
        <w:lastRenderedPageBreak/>
        <w:t>и науки Российской Федерации</w:t>
      </w:r>
    </w:p>
    <w:p w:rsidR="00180434" w:rsidRDefault="00180434">
      <w:pPr>
        <w:pStyle w:val="ConsPlusNormal"/>
        <w:jc w:val="right"/>
      </w:pPr>
      <w:r>
        <w:t>от 8 июня 2017 г. N 509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80434" w:rsidRDefault="0018043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80434" w:rsidRDefault="00180434">
      <w:pPr>
        <w:pStyle w:val="ConsPlusTitle"/>
        <w:jc w:val="center"/>
      </w:pPr>
      <w:r>
        <w:t>07.03.01 АРХИТЕКТУРА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center"/>
        <w:outlineLvl w:val="1"/>
      </w:pPr>
      <w:r>
        <w:t>I. Общие положения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07.03.01 Архитектура (далее соответственно - программа бакалавриата, направление подготовки).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 и очно-заочной формах.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bookmarkStart w:id="1" w:name="P53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80434" w:rsidRDefault="00180434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80434" w:rsidRDefault="0018043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Область профессиональной деятельности &lt;2&gt; и сфера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>10 Архитектура, проектирование, геодезия, топография и дизайн (в сфере архитектурного проектирования).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80434" w:rsidRDefault="00180434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проектно-технологический</w:t>
      </w:r>
      <w:proofErr w:type="gramEnd"/>
      <w:r>
        <w:t xml:space="preserve"> (архитектурное проектирование);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аналитический (предпроектный анализ);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авторский надзор.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профессиональной деятельности выпускников;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80434" w:rsidRDefault="00180434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80434" w:rsidRDefault="00180434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80434" w:rsidRDefault="00180434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right"/>
      </w:pPr>
      <w:r>
        <w:t>Таблица</w:t>
      </w:r>
    </w:p>
    <w:p w:rsidR="00180434" w:rsidRDefault="00180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025"/>
        <w:gridCol w:w="3572"/>
      </w:tblGrid>
      <w:tr w:rsidR="00180434">
        <w:tc>
          <w:tcPr>
            <w:tcW w:w="5499" w:type="dxa"/>
            <w:gridSpan w:val="2"/>
          </w:tcPr>
          <w:p w:rsidR="00180434" w:rsidRDefault="0018043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72" w:type="dxa"/>
          </w:tcPr>
          <w:p w:rsidR="00180434" w:rsidRDefault="0018043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80434">
        <w:tc>
          <w:tcPr>
            <w:tcW w:w="1474" w:type="dxa"/>
          </w:tcPr>
          <w:p w:rsidR="00180434" w:rsidRDefault="00180434">
            <w:pPr>
              <w:pStyle w:val="ConsPlusNormal"/>
              <w:jc w:val="center"/>
            </w:pPr>
            <w:bookmarkStart w:id="5" w:name="P91"/>
            <w:bookmarkEnd w:id="5"/>
            <w:r>
              <w:t>Блок 1</w:t>
            </w:r>
          </w:p>
        </w:tc>
        <w:tc>
          <w:tcPr>
            <w:tcW w:w="4025" w:type="dxa"/>
          </w:tcPr>
          <w:p w:rsidR="00180434" w:rsidRDefault="0018043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180434" w:rsidRDefault="00180434">
            <w:pPr>
              <w:pStyle w:val="ConsPlusNormal"/>
              <w:jc w:val="center"/>
            </w:pPr>
            <w:r>
              <w:t>не менее 258</w:t>
            </w:r>
          </w:p>
        </w:tc>
      </w:tr>
      <w:tr w:rsidR="00180434">
        <w:tc>
          <w:tcPr>
            <w:tcW w:w="1474" w:type="dxa"/>
          </w:tcPr>
          <w:p w:rsidR="00180434" w:rsidRDefault="00180434">
            <w:pPr>
              <w:pStyle w:val="ConsPlusNormal"/>
              <w:jc w:val="center"/>
            </w:pPr>
            <w:bookmarkStart w:id="6" w:name="P94"/>
            <w:bookmarkEnd w:id="6"/>
            <w:r>
              <w:t>Блок 2</w:t>
            </w:r>
          </w:p>
        </w:tc>
        <w:tc>
          <w:tcPr>
            <w:tcW w:w="4025" w:type="dxa"/>
          </w:tcPr>
          <w:p w:rsidR="00180434" w:rsidRDefault="00180434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180434" w:rsidRDefault="00180434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180434">
        <w:tc>
          <w:tcPr>
            <w:tcW w:w="1474" w:type="dxa"/>
          </w:tcPr>
          <w:p w:rsidR="00180434" w:rsidRDefault="00180434">
            <w:pPr>
              <w:pStyle w:val="ConsPlusNormal"/>
              <w:jc w:val="center"/>
            </w:pPr>
            <w:bookmarkStart w:id="7" w:name="P97"/>
            <w:bookmarkEnd w:id="7"/>
            <w:r>
              <w:t>Блок 3</w:t>
            </w:r>
          </w:p>
        </w:tc>
        <w:tc>
          <w:tcPr>
            <w:tcW w:w="4025" w:type="dxa"/>
          </w:tcPr>
          <w:p w:rsidR="00180434" w:rsidRDefault="001804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180434" w:rsidRDefault="00180434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180434">
        <w:tc>
          <w:tcPr>
            <w:tcW w:w="5499" w:type="dxa"/>
            <w:gridSpan w:val="2"/>
          </w:tcPr>
          <w:p w:rsidR="00180434" w:rsidRDefault="00180434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72" w:type="dxa"/>
            <w:vAlign w:val="center"/>
          </w:tcPr>
          <w:p w:rsidR="00180434" w:rsidRDefault="00180434">
            <w:pPr>
              <w:pStyle w:val="ConsPlusNormal"/>
              <w:jc w:val="center"/>
            </w:pPr>
            <w:r>
              <w:t>300</w:t>
            </w:r>
          </w:p>
        </w:tc>
      </w:tr>
    </w:tbl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bookmarkStart w:id="8" w:name="P10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lastRenderedPageBreak/>
        <w:t xml:space="preserve">в объеме не менее 2 з.е. в рамках </w:t>
      </w:r>
      <w:hyperlink w:anchor="P91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80434" w:rsidRDefault="00180434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2.4. В </w:t>
      </w:r>
      <w:hyperlink w:anchor="P94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ознакомительная практика (архитектурно-обмерная и геодезическая);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художественная практика.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технологическая практика (технология строительного производства);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08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3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180434" w:rsidRDefault="00180434">
      <w:pPr>
        <w:pStyle w:val="ConsPlusNormal"/>
        <w:jc w:val="center"/>
      </w:pPr>
      <w:r>
        <w:t>программы бакалавриата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80434" w:rsidRDefault="00180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180434">
        <w:tc>
          <w:tcPr>
            <w:tcW w:w="2778" w:type="dxa"/>
          </w:tcPr>
          <w:p w:rsidR="00180434" w:rsidRDefault="0018043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80434">
        <w:tc>
          <w:tcPr>
            <w:tcW w:w="2778" w:type="dxa"/>
            <w:vAlign w:val="center"/>
          </w:tcPr>
          <w:p w:rsidR="00180434" w:rsidRDefault="00180434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0434">
        <w:tc>
          <w:tcPr>
            <w:tcW w:w="2778" w:type="dxa"/>
            <w:vAlign w:val="center"/>
          </w:tcPr>
          <w:p w:rsidR="00180434" w:rsidRDefault="0018043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0434">
        <w:tc>
          <w:tcPr>
            <w:tcW w:w="2778" w:type="dxa"/>
            <w:vAlign w:val="center"/>
          </w:tcPr>
          <w:p w:rsidR="00180434" w:rsidRDefault="0018043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80434">
        <w:tc>
          <w:tcPr>
            <w:tcW w:w="2778" w:type="dxa"/>
            <w:vAlign w:val="center"/>
          </w:tcPr>
          <w:p w:rsidR="00180434" w:rsidRDefault="00180434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180434">
        <w:tc>
          <w:tcPr>
            <w:tcW w:w="2778" w:type="dxa"/>
            <w:vAlign w:val="center"/>
          </w:tcPr>
          <w:p w:rsidR="00180434" w:rsidRDefault="0018043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80434">
        <w:tc>
          <w:tcPr>
            <w:tcW w:w="2778" w:type="dxa"/>
            <w:vMerge w:val="restart"/>
            <w:vAlign w:val="center"/>
          </w:tcPr>
          <w:p w:rsidR="00180434" w:rsidRDefault="00180434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80434">
        <w:tc>
          <w:tcPr>
            <w:tcW w:w="2778" w:type="dxa"/>
            <w:vMerge/>
          </w:tcPr>
          <w:p w:rsidR="00180434" w:rsidRDefault="00180434"/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80434">
        <w:tc>
          <w:tcPr>
            <w:tcW w:w="2778" w:type="dxa"/>
            <w:vAlign w:val="center"/>
          </w:tcPr>
          <w:p w:rsidR="00180434" w:rsidRDefault="0018043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80434" w:rsidRDefault="00180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180434">
        <w:tc>
          <w:tcPr>
            <w:tcW w:w="2778" w:type="dxa"/>
          </w:tcPr>
          <w:p w:rsidR="00180434" w:rsidRDefault="0018043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80434">
        <w:tc>
          <w:tcPr>
            <w:tcW w:w="2778" w:type="dxa"/>
          </w:tcPr>
          <w:p w:rsidR="00180434" w:rsidRDefault="00180434">
            <w:pPr>
              <w:pStyle w:val="ConsPlusNormal"/>
            </w:pPr>
            <w:r>
              <w:t>Художественно-графические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объемно-пространственного мышления</w:t>
            </w:r>
          </w:p>
        </w:tc>
      </w:tr>
      <w:tr w:rsidR="00180434">
        <w:tc>
          <w:tcPr>
            <w:tcW w:w="2778" w:type="dxa"/>
          </w:tcPr>
          <w:p w:rsidR="00180434" w:rsidRDefault="00180434">
            <w:pPr>
              <w:pStyle w:val="ConsPlusNormal"/>
            </w:pPr>
            <w:r>
              <w:t>Проектно-аналитические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>ОПК-2. Способен осуществлять комплексный предпроектный анализ и поиск творческого проектного решения</w:t>
            </w:r>
          </w:p>
        </w:tc>
      </w:tr>
      <w:tr w:rsidR="00180434">
        <w:tc>
          <w:tcPr>
            <w:tcW w:w="2778" w:type="dxa"/>
            <w:vMerge w:val="restart"/>
          </w:tcPr>
          <w:p w:rsidR="00180434" w:rsidRDefault="00180434">
            <w:pPr>
              <w:pStyle w:val="ConsPlusNormal"/>
            </w:pPr>
            <w:r>
              <w:t>Общеинженерные</w:t>
            </w:r>
          </w:p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комплексном проектировании на основе системного подхода, исходя из действующих правовых норм, финансовых ресурсов, анализа ситуации в социальном, функциональном, экологическом, технологическом, инженерном, историческом, экономическом и эстетическом аспектах</w:t>
            </w:r>
          </w:p>
        </w:tc>
      </w:tr>
      <w:tr w:rsidR="00180434">
        <w:tc>
          <w:tcPr>
            <w:tcW w:w="2778" w:type="dxa"/>
            <w:vMerge/>
          </w:tcPr>
          <w:p w:rsidR="00180434" w:rsidRDefault="00180434"/>
        </w:tc>
        <w:tc>
          <w:tcPr>
            <w:tcW w:w="6293" w:type="dxa"/>
          </w:tcPr>
          <w:p w:rsidR="00180434" w:rsidRDefault="00180434">
            <w:pPr>
              <w:pStyle w:val="ConsPlusNormal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методики определения технических параметров проектируемых объектов</w:t>
            </w:r>
          </w:p>
        </w:tc>
      </w:tr>
    </w:tbl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lastRenderedPageBreak/>
        <w:t>включает в программу бакалавриата все обязательные профессиональные компетенции (при наличии);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реестре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lastRenderedPageBreak/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center"/>
        <w:outlineLvl w:val="1"/>
      </w:pPr>
      <w:r>
        <w:t>IV. Требования к условиям реализации программы бакалавриата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80434" w:rsidRDefault="00180434">
      <w:pPr>
        <w:pStyle w:val="ConsPlusNormal"/>
        <w:ind w:firstLine="540"/>
        <w:jc w:val="both"/>
      </w:pPr>
    </w:p>
    <w:p w:rsidR="00180434" w:rsidRDefault="00180434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7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80434" w:rsidRDefault="00180434">
      <w:pPr>
        <w:pStyle w:val="ConsPlusNormal"/>
        <w:ind w:firstLine="540"/>
        <w:jc w:val="both"/>
      </w:pPr>
    </w:p>
    <w:p w:rsidR="00180434" w:rsidRDefault="00180434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80434" w:rsidRDefault="00180434">
      <w:pPr>
        <w:pStyle w:val="ConsPlusNormal"/>
        <w:ind w:firstLine="540"/>
        <w:jc w:val="both"/>
      </w:pPr>
    </w:p>
    <w:p w:rsidR="00180434" w:rsidRDefault="00180434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</w:t>
      </w:r>
      <w:proofErr w:type="gramEnd"/>
      <w:r>
        <w:t xml:space="preserve"> не менее 3 лет).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>К педагогическим работникам и лицам, привлекаемым к образовательной деятельности Организации на условиях гражданско-правового договора,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международных и всероссийских премий в соответствующей профессиональной сфере, советники, почетные члены, члены-корреспонденты, академики Российской академии архитектуры и строительных наук, Российской академии художеств</w:t>
      </w:r>
      <w:proofErr w:type="gramEnd"/>
      <w:r>
        <w:t>, члены российских и (или) международных творческих союзов архитекторов, художников, дизайнеров, реставраторов, члены ассоциации ландшафтных архитекторов России, авторы научных монографий и крупных реализованных проектов.</w:t>
      </w:r>
    </w:p>
    <w:p w:rsidR="00180434" w:rsidRDefault="00180434">
      <w:pPr>
        <w:pStyle w:val="ConsPlusNormal"/>
        <w:ind w:firstLine="540"/>
        <w:jc w:val="both"/>
      </w:pPr>
    </w:p>
    <w:p w:rsidR="00180434" w:rsidRDefault="00180434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</w:t>
      </w:r>
      <w:r>
        <w:lastRenderedPageBreak/>
        <w:t>затрат, определяемых Министерством образования и науки Российской Федерации &lt;6&gt;.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0434" w:rsidRDefault="00180434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42; ст. 5926; N 46, ст. 6468).</w:t>
      </w:r>
      <w:proofErr w:type="gramEnd"/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180434" w:rsidRDefault="0018043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jc w:val="both"/>
      </w:pPr>
    </w:p>
    <w:p w:rsidR="00180434" w:rsidRDefault="00180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1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80434"/>
    <w:rsid w:val="000156F2"/>
    <w:rsid w:val="00180434"/>
    <w:rsid w:val="003B6048"/>
    <w:rsid w:val="00474B04"/>
    <w:rsid w:val="005C1637"/>
    <w:rsid w:val="00823A81"/>
    <w:rsid w:val="008418C4"/>
    <w:rsid w:val="00990267"/>
    <w:rsid w:val="009A5B44"/>
    <w:rsid w:val="009E28CE"/>
    <w:rsid w:val="00B9304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6779E776342BA770011453925419902C7EA74F085DDC0A2C1F8760F1FB19589D4FBEA125EBA1x1SDF" TargetMode="External"/><Relationship Id="rId13" Type="http://schemas.openxmlformats.org/officeDocument/2006/relationships/hyperlink" Target="consultantplus://offline/ref=5C636779E776342BA770011453925419902C71A7480F5DDC0A2C1F8760xFS1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636779E776342BA770011453925419932470A74E0D5DDC0A2C1F8760F1FB19589D4FBEA125E9A4x1S0F" TargetMode="External"/><Relationship Id="rId12" Type="http://schemas.openxmlformats.org/officeDocument/2006/relationships/hyperlink" Target="consultantplus://offline/ref=5C636779E776342BA770011453925419902F79A5420E5DDC0A2C1F8760xFS1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36779E776342BA770011453925419902C78A54B0D5DDC0A2C1F8760F1FB19589D4FBEA125E9A1x1S6F" TargetMode="External"/><Relationship Id="rId11" Type="http://schemas.openxmlformats.org/officeDocument/2006/relationships/hyperlink" Target="consultantplus://offline/ref=5C636779E776342BA77001145392541993297EAF4D095DDC0A2C1F8760xFS1F" TargetMode="External"/><Relationship Id="rId5" Type="http://schemas.openxmlformats.org/officeDocument/2006/relationships/hyperlink" Target="consultantplus://offline/ref=5C636779E776342BA770011453925419902C70A6420D5DDC0A2C1F8760F1FB19589D4FBEA125E9A3x1S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636779E776342BA770011453925419902C7CA148095DDC0A2C1F8760F1FB19589D4FBEA125E9A5x1S2F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636779E776342BA770011453925419902C7CA148095DDC0A2C1F8760F1FB19589D4FBEA125E9A1x1S3F" TargetMode="External"/><Relationship Id="rId14" Type="http://schemas.openxmlformats.org/officeDocument/2006/relationships/hyperlink" Target="consultantplus://offline/ref=5C636779E776342BA770011453925419902D7EAE4A085DDC0A2C1F8760F1FB19589D4FBEA125ECA5x1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EE19D7E-50DE-42FD-9CCF-8C1ED5AA37EB}"/>
</file>

<file path=customXml/itemProps2.xml><?xml version="1.0" encoding="utf-8"?>
<ds:datastoreItem xmlns:ds="http://schemas.openxmlformats.org/officeDocument/2006/customXml" ds:itemID="{EF56F0FA-A754-40E3-AA2B-09EF7635E9E3}"/>
</file>

<file path=customXml/itemProps3.xml><?xml version="1.0" encoding="utf-8"?>
<ds:datastoreItem xmlns:ds="http://schemas.openxmlformats.org/officeDocument/2006/customXml" ds:itemID="{0C0F5F97-FA9E-48D1-B65C-0DE55F7B1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5010</Words>
  <Characters>28563</Characters>
  <Application>Microsoft Office Word</Application>
  <DocSecurity>0</DocSecurity>
  <Lines>238</Lines>
  <Paragraphs>67</Paragraphs>
  <ScaleCrop>false</ScaleCrop>
  <Company/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2017-08-14T05:18:00Z</dcterms:created>
  <dcterms:modified xsi:type="dcterms:W3CDTF">2017-08-14T05:19:00Z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