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25 августа 2014 г. N 33805</w:t>
      </w:r>
    </w:p>
    <w:p w:rsidR="00C37660" w:rsidRDefault="00C3766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августа 2014 г. N 937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03.03.02 ФИЗИКА (УРОВЕНЬ БАКАЛАВРИАТА)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03.03.02 Физика (уровень бакалавриата).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8 декабря 2009 г. N 711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011200 Физика (квалификация (степень) "бакалавр")" (зарегистрирован Министерством юстиции Российской Федерации 4 февраля 2010 г., регистрационный N 16270);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2014 года.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Исполняющая</w:t>
      </w:r>
      <w:proofErr w:type="gramEnd"/>
      <w:r>
        <w:rPr>
          <w:rFonts w:ascii="Calibri" w:hAnsi="Calibri" w:cs="Calibri"/>
        </w:rPr>
        <w:t xml:space="preserve"> обязанности Министра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Н.В.ТРЕТЬЯК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августа 2014 г. N 937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lastRenderedPageBreak/>
        <w:t>ФЕДЕРАЛЬНЫЙ ГОСУДАРСТВЕННЫЙ ОБРАЗОВАТЕЛЬНЫЙ СТАНДАРТ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БАКАЛАВРИАТ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03.03.02 ФИЗИКА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03.03.02 Физика (далее соответственно - программа бакалавриата, направление подготовки).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высшее образование;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ОПК - общепрофессиональные компетенции;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>Обучение по программе бакалавриата в организациях осуществляется в очной и очно-заочной формах обучения.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бакалавриата: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очно-заочной форме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 Объем программы бакалавриата за один учебный год в очно-заочной форме обучения не может составлять более 75 з.е.;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Calibri" w:hAnsi="Calibri" w:cs="Calibri"/>
        </w:rPr>
        <w:t xml:space="preserve"> Объем программы бакалавриата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з.е.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Конкретный срок получения образования и объем программы бакалавриата, реализуемый за один учебный год, в очно-заочной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бакалавриата возможна с использованием сетевой формы.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БАКАЛАВРИАТА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выпускников, освоивших программу бакалавриата, включает все виды наблюдающихся в природе физических явлений, процессов и структур.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бакалавриата, являются: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физические системы различного масштаба и уровней организации, процессы их функционирования;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физические, инженерно-физические, биофизические, химико-физические, медико-физические, природоохранительные технологии;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физическая экспертиза и мониторинг.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научно-инновационная;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и просветительская.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академического</w:t>
      </w:r>
      <w:proofErr w:type="gramEnd"/>
      <w:r>
        <w:rPr>
          <w:rFonts w:ascii="Calibri" w:hAnsi="Calibri" w:cs="Calibri"/>
        </w:rPr>
        <w:t xml:space="preserve"> бакалавриата);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Calibri" w:hAnsi="Calibri" w:cs="Calibri"/>
        </w:rPr>
        <w:t>прикладного</w:t>
      </w:r>
      <w:proofErr w:type="gramEnd"/>
      <w:r>
        <w:rPr>
          <w:rFonts w:ascii="Calibri" w:hAnsi="Calibri" w:cs="Calibri"/>
        </w:rPr>
        <w:t xml:space="preserve"> бакалавриата).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освоение методов научных исследований;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освоение теорий и моделей;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проведении физических исследований по заданной тематике;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обработке полученных результатов научных исследований на современном уровне;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работа с научной литературой с использованием новых информационных технологий;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научно-инновационная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освоение методов применения результатов научных исследований в инновационной деятельности;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освоение методов инженерно-технологической деятельности;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обработке и анализе полученных данных с помощью современных информационных технологий;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знакомство с основами организации и планирования физических исследований;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информационной и технической организации научных семинаров и конференций;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написании и оформлении научных статей и отчетов;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и просветительская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и проведение учебных занятий в общеобразовательных организациях;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экскурсионная, просветительская и кружковая работа.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09"/>
      <w:bookmarkEnd w:id="7"/>
      <w:r>
        <w:rPr>
          <w:rFonts w:ascii="Calibri" w:hAnsi="Calibri" w:cs="Calibri"/>
        </w:rPr>
        <w:t>V. ТРЕБОВАНИЯ К РЕЗУЛЬТАТАМ ОСВОЕНИЯ ПРОГРАММЫ БАКАЛАВРИАТА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бакалавриата, должен обладать следующими общекультурными компетенциями (ОК):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философских знаний для формирования мировоззренческой позиции (ОК-1);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экономических знаний в различных сферах жизнедеятельности (ОК-3);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основы правовых знаний в различных сферах жизнедеятельности (ОК-4);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к коммуникации в устной и письменной </w:t>
      </w:r>
      <w:proofErr w:type="gramStart"/>
      <w:r>
        <w:rPr>
          <w:rFonts w:ascii="Calibri" w:hAnsi="Calibri" w:cs="Calibri"/>
        </w:rPr>
        <w:t>формах</w:t>
      </w:r>
      <w:proofErr w:type="gramEnd"/>
      <w:r>
        <w:rPr>
          <w:rFonts w:ascii="Calibri" w:hAnsi="Calibri" w:cs="Calibri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самоорганизации и самообразованию (ОК-7);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 использовать приемы первой помощи, методы защиты в условиях чрезвычайных ситуаций (ОК-9).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Выпускник, освоивший программу бакалавриата, должен обладать следующими общепрофессиональными компетенциями (ОПК):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в профессиональной деятельности базовые естественнонаучные знания, включая знания о предмете и объектах изучения, методах исследования, современных концепциях, достижениях и ограничениях естественных наук (прежде всего химии, биологии, экологии, наук о земле и человеке) (ОПК-1);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в профессиональной деятельности базовые знания фундаментальных разделов математики, создавать математические модели типовых профессиональных задач и интерпретировать полученные результаты с учетом границ применимости моделей (ОПК-2);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базовые теоретические знания фундаментальных разделов общей и теоретической физики для решения профессиональных задач (ОПК-3);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понимать сущность и значение информации в развитии современного общества, осознавать опасность и угрозу, возникающие в этом процессе, соблюдать основные требования информационной безопасности (ОПК-4);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основные методы, способы и средства получения, хранения, </w:t>
      </w:r>
      <w:r>
        <w:rPr>
          <w:rFonts w:ascii="Calibri" w:hAnsi="Calibri" w:cs="Calibri"/>
        </w:rPr>
        <w:lastRenderedPageBreak/>
        <w:t>переработки информации и навыки работы с компьютером как со средством управления информацией (ОПК-5);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в своей профессиональной деятельности знание иностранного языка (ОПК-7);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критически переосмысливать накопленный опыт, изменять при необходимости направление своей деятельности (ОПК-8);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получить организационно-управленческие навыки при работе в научных группах и других малых коллективах исполнителей (ОПК-9);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специализированные знания в области физики для освоения профильных физических дисциплин (ПК-1);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проводить научные исследования в избранной области экспериментальных и (или) теоретических физических исследований с помощью современной приборной базы (в том числе сложного физического оборудования) и информационных технологий с учетом отечественного и зарубежного опыта (ПК-2);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научно-инновационная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применять на практике профессиональные знания теории и методов физических исследований (ПК-3);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применять на практике профессиональные знания и умения, полученные при освоении профильных физических дисциплин (ПК-4);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пользоваться современными методами обработки, анализа и синтеза физической информации в избранной области физических исследований (ПК-5);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понимать и использовать на практике теоретические основы организации и планирования физических исследований (ПК-6);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участвовать в подготовке и составлении научной документации по установленной форме (ПК-7);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понимать и применять на практике методы управления в сфере природопользования (ПК-8);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педагогическая и просветительская деятельность: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проектировать, организовывать и анализировать педагогическую деятельность, обеспечивая последовательность изложения материала и междисциплинарные связи физики с другими дисциплинами (ПК-9).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бакалавриата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50"/>
      <w:bookmarkEnd w:id="8"/>
      <w:r>
        <w:rPr>
          <w:rFonts w:ascii="Calibri" w:hAnsi="Calibri" w:cs="Calibri"/>
        </w:rPr>
        <w:t>VI. ТРЕБОВАНИЯ К СТРУКТУРЕ ПРОГРАММЫ БАКАЛАВРИАТА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Структура программы бакалавриата включает обязательную часть (базовую) и часть, </w:t>
      </w:r>
      <w:r>
        <w:rPr>
          <w:rFonts w:ascii="Calibri" w:hAnsi="Calibri" w:cs="Calibri"/>
        </w:rPr>
        <w:lastRenderedPageBreak/>
        <w:t>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бакалавриата состоит из следующих блоков: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"Практики", который в полном объеме относится к вариативной части программы.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9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60"/>
      <w:bookmarkEnd w:id="9"/>
      <w:r>
        <w:rPr>
          <w:rFonts w:ascii="Calibri" w:hAnsi="Calibri" w:cs="Calibri"/>
        </w:rPr>
        <w:t>Структура программы бакалавриата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  <w:sectPr w:rsidR="00C37660" w:rsidSect="00D307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02"/>
        <w:gridCol w:w="3825"/>
        <w:gridCol w:w="2346"/>
        <w:gridCol w:w="2064"/>
      </w:tblGrid>
      <w:tr w:rsidR="00C37660">
        <w:tc>
          <w:tcPr>
            <w:tcW w:w="5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бакалавриата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бакалавриата в з.е.</w:t>
            </w:r>
          </w:p>
        </w:tc>
      </w:tr>
      <w:tr w:rsidR="00C37660">
        <w:tc>
          <w:tcPr>
            <w:tcW w:w="5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академического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программа </w:t>
            </w:r>
            <w:proofErr w:type="gramStart"/>
            <w:r>
              <w:rPr>
                <w:rFonts w:ascii="Calibri" w:hAnsi="Calibri" w:cs="Calibri"/>
              </w:rPr>
              <w:t>прикладного</w:t>
            </w:r>
            <w:proofErr w:type="gramEnd"/>
            <w:r>
              <w:rPr>
                <w:rFonts w:ascii="Calibri" w:hAnsi="Calibri" w:cs="Calibri"/>
              </w:rPr>
              <w:t xml:space="preserve"> бакалавриата</w:t>
            </w:r>
          </w:p>
        </w:tc>
      </w:tr>
      <w:tr w:rsidR="00C37660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213 - 219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192 - 219</w:t>
            </w:r>
          </w:p>
        </w:tc>
      </w:tr>
      <w:tr w:rsidR="00C37660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120 - 138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120 - 138</w:t>
            </w:r>
          </w:p>
        </w:tc>
      </w:tr>
      <w:tr w:rsidR="00C37660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81 - 93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72 - 81</w:t>
            </w:r>
          </w:p>
        </w:tc>
      </w:tr>
      <w:tr w:rsidR="00C37660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12 - 42</w:t>
            </w:r>
          </w:p>
        </w:tc>
      </w:tr>
      <w:tr w:rsidR="00C37660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12 - 42</w:t>
            </w:r>
          </w:p>
        </w:tc>
      </w:tr>
      <w:tr w:rsidR="00C37660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C37660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C37660"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бакалавриата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7660" w:rsidRDefault="00C3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</w:tr>
    </w:tbl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C37660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Дисциплины (модули) по физической культуре и спорту реализуются в рамках: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базовой части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В Блок 2 "Практики" входят учебная и производственная, в том числе преддипломная, практики.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практики: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 (полевая).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работа.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производственной практики: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 (полевая).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В Блок 3 "Государственная итоговая аттестация" входит защита выпускной </w:t>
      </w:r>
      <w:r>
        <w:rPr>
          <w:rFonts w:ascii="Calibri" w:hAnsi="Calibri" w:cs="Calibri"/>
        </w:rPr>
        <w:lastRenderedPageBreak/>
        <w:t>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Количество часов, отведенных на занятия лекционного типа в целом по Блоку 1 "Дисциплины (модули)",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26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БАКАЛАВРИАТА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29"/>
      <w:bookmarkEnd w:id="11"/>
      <w:r>
        <w:rPr>
          <w:rFonts w:ascii="Calibri" w:hAnsi="Calibri" w:cs="Calibri"/>
        </w:rPr>
        <w:t>7.1. Общесистемные требования к реализации программы бакалавриата.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и отвечать техническим требованиям организации,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4323),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52, ст. 6439; 2010, N 27, ст. 3407; N 31, ст. 4173, ст. 4196; N 49, ст. 6409; 2011, N 23, ст. 3263; N 31, ст. 4701; 2013, </w:t>
      </w:r>
      <w:r>
        <w:rPr>
          <w:rFonts w:ascii="Calibri" w:hAnsi="Calibri" w:cs="Calibri"/>
        </w:rPr>
        <w:lastRenderedPageBreak/>
        <w:t>N 14, ст. 1651; N 30, ст. 4038; N 51, ст. 6683; 2014, N 23, ст. 2927).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3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50"/>
      <w:bookmarkEnd w:id="12"/>
      <w:r>
        <w:rPr>
          <w:rFonts w:ascii="Calibri" w:hAnsi="Calibri" w:cs="Calibri"/>
        </w:rPr>
        <w:t>7.2. Требования к кадровым условиям реализации программы бакалавриата.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6 процентов.</w:t>
      </w:r>
      <w:proofErr w:type="gramEnd"/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256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программы бакалавриата.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7.3.1. Специальные помещения должны представлять собой учебные аудитории для </w:t>
      </w:r>
      <w:r>
        <w:rPr>
          <w:rFonts w:ascii="Calibri" w:hAnsi="Calibri" w:cs="Calibri"/>
        </w:rPr>
        <w:lastRenderedPageBreak/>
        <w:t>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268"/>
      <w:bookmarkEnd w:id="14"/>
      <w:r>
        <w:rPr>
          <w:rFonts w:ascii="Calibri" w:hAnsi="Calibri" w:cs="Calibri"/>
        </w:rPr>
        <w:t>7.4. Требования к финансовым условиям реализации программы бакалавриата.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37660" w:rsidRDefault="00C3766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37660"/>
    <w:rsid w:val="003B6048"/>
    <w:rsid w:val="00875B2A"/>
    <w:rsid w:val="00C37660"/>
    <w:rsid w:val="00DC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BDE9CB847EE26B9EC53D60C12D9E295FA597E14D179B7ED4FA4C54488C6098D7837233D6776E0AcBi3M" TargetMode="External"/><Relationship Id="rId13" Type="http://schemas.openxmlformats.org/officeDocument/2006/relationships/hyperlink" Target="consultantplus://offline/ref=1EBDE9CB847EE26B9EC53D60C12D9E295FA191E5421B9B7ED4FA4C54488C6098D7837233D6776E0EcBi3M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BDE9CB847EE26B9EC53D60C12D9E295FA597E240139B7ED4FA4C5448c8iCM" TargetMode="External"/><Relationship Id="rId12" Type="http://schemas.openxmlformats.org/officeDocument/2006/relationships/hyperlink" Target="consultantplus://offline/ref=1EBDE9CB847EE26B9EC53D60C12D9E295FA593E445159B7ED4FA4C54488C6098D7837233D6776E0EcBi5M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BDE9CB847EE26B9EC53D60C12D9E295FA299E644149B7ED4FA4C54488C6098D7837233D6776E0BcBi7M" TargetMode="External"/><Relationship Id="rId11" Type="http://schemas.openxmlformats.org/officeDocument/2006/relationships/hyperlink" Target="consultantplus://offline/ref=1EBDE9CB847EE26B9EC53D60C12D9E295FA292E942179B7ED4FA4C5448c8iCM" TargetMode="External"/><Relationship Id="rId5" Type="http://schemas.openxmlformats.org/officeDocument/2006/relationships/hyperlink" Target="consultantplus://offline/ref=1EBDE9CB847EE26B9EC53D60C12D9E295FA294E2401A9B7ED4FA4C54488C6098D7837233D6776E09cBi4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BDE9CB847EE26B9EC53D60C12D9E295FA294E943129B7ED4FA4C5448c8iCM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EBDE9CB847EE26B9EC53D60C12D9E295FA294E2401A9B7ED4FA4C54488C6098D7837233D6776E0DcBi4M" TargetMode="External"/><Relationship Id="rId14" Type="http://schemas.openxmlformats.org/officeDocument/2006/relationships/hyperlink" Target="consultantplus://offline/ref=1EBDE9CB847EE26B9EC53D60C12D9E295FA193E144139B7ED4FA4C54488C6098D7837233D6776E0EcBi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B7788-0B56-492A-BD0D-1B50C3456E57}"/>
</file>

<file path=customXml/itemProps2.xml><?xml version="1.0" encoding="utf-8"?>
<ds:datastoreItem xmlns:ds="http://schemas.openxmlformats.org/officeDocument/2006/customXml" ds:itemID="{A9C9A68A-380D-439F-BA3A-1F21844E0FAC}"/>
</file>

<file path=customXml/itemProps3.xml><?xml version="1.0" encoding="utf-8"?>
<ds:datastoreItem xmlns:ds="http://schemas.openxmlformats.org/officeDocument/2006/customXml" ds:itemID="{3451C8DC-F313-4B4C-8D30-9D85F9A87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4842</Words>
  <Characters>27603</Characters>
  <Application>Microsoft Office Word</Application>
  <DocSecurity>0</DocSecurity>
  <Lines>230</Lines>
  <Paragraphs>64</Paragraphs>
  <ScaleCrop>false</ScaleCrop>
  <Company/>
  <LinksUpToDate>false</LinksUpToDate>
  <CharactersWithSpaces>32381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2014-11-12T12:34:00Z</dcterms:created>
  <dcterms:modified xsi:type="dcterms:W3CDTF">2014-11-12T12:35:00Z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