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C96" w:rsidRDefault="00270B28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МЕТОДИКА ПОДБОРА ТОПЛИВО-СЖИГАЮЩЕГО УСТРОЙСТВА И ПРИСОСОВ ВОЗДУХА ПО ТРАКТУ КОТЛА ДЛЯ ТЕПЛОВОГО РАСЧЕТА</w:t>
      </w:r>
    </w:p>
    <w:p w:rsidR="00442C96" w:rsidRDefault="00270B28">
      <w:pPr>
        <w:pStyle w:val="normal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тепловом расчете котла всегда задаются исходные параметры: давление,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паропроизводительность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температура перегрева, температура питательной воды, а главное вид используемого топлива (твердого, жидкого или газообразного). Начинается тепловой расчет с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дбора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топливо-сжигающего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устройства (ТСУ), а вернее с анализа заданного топлива для его подбора. Например, по заданию топливом является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кизеловский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уголь. Для теплового расчета необходимо будет выполнять расчет горения этого угля, значит, необходимо из спр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авочника определить его состав на рабочую массу. Пользоваться можно любыми справочниками, но более полная информация располагается в книгах Кузнецова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Роддатиса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[1-2].</w:t>
      </w:r>
    </w:p>
    <w:p w:rsidR="00442C96" w:rsidRDefault="009F2FF6">
      <w:pPr>
        <w:pStyle w:val="normal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28" style="position:absolute;left:0;text-align:left;margin-left:181.65pt;margin-top:114pt;width:26.5pt;height:19.55pt;z-index:251668480" filled="f" strokecolor="#0070c0" strokeweight="3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26" style="position:absolute;left:0;text-align:left;margin-left:181.65pt;margin-top:84.05pt;width:26.5pt;height:264.35pt;z-index:251666432" filled="f" strokecolor="red" strokeweight="2.25pt"/>
        </w:pict>
      </w:r>
      <w:r w:rsidR="00270B28">
        <w:rPr>
          <w:rFonts w:ascii="Times New Roman" w:eastAsia="Times New Roman" w:hAnsi="Times New Roman" w:cs="Times New Roman"/>
          <w:sz w:val="24"/>
          <w:szCs w:val="24"/>
        </w:rPr>
        <w:tab/>
        <w:t xml:space="preserve">На рисунке 1 изображена выдержка из справочника </w:t>
      </w:r>
      <w:proofErr w:type="spellStart"/>
      <w:r w:rsidR="00270B28">
        <w:rPr>
          <w:rFonts w:ascii="Times New Roman" w:eastAsia="Times New Roman" w:hAnsi="Times New Roman" w:cs="Times New Roman"/>
          <w:sz w:val="24"/>
          <w:szCs w:val="24"/>
        </w:rPr>
        <w:t>Роддатиса</w:t>
      </w:r>
      <w:proofErr w:type="spellEnd"/>
      <w:r w:rsidR="00270B28">
        <w:rPr>
          <w:rFonts w:ascii="Times New Roman" w:eastAsia="Times New Roman" w:hAnsi="Times New Roman" w:cs="Times New Roman"/>
          <w:sz w:val="24"/>
          <w:szCs w:val="24"/>
        </w:rPr>
        <w:t xml:space="preserve"> по искомому топливу. </w:t>
      </w:r>
      <w:r w:rsidR="00270B28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10797</wp:posOffset>
            </wp:positionH>
            <wp:positionV relativeFrom="paragraph">
              <wp:posOffset>553720</wp:posOffset>
            </wp:positionV>
            <wp:extent cx="6100445" cy="3858895"/>
            <wp:effectExtent l="0" t="0" r="0" b="0"/>
            <wp:wrapTopAndBottom distT="0" dist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22073" t="19836" r="18144" b="12883"/>
                    <a:stretch>
                      <a:fillRect/>
                    </a:stretch>
                  </pic:blipFill>
                  <pic:spPr>
                    <a:xfrm>
                      <a:off x="0" y="0"/>
                      <a:ext cx="6100445" cy="3858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2260600</wp:posOffset>
              </wp:positionH>
              <wp:positionV relativeFrom="paragraph">
                <wp:posOffset>1028700</wp:posOffset>
              </wp:positionV>
              <wp:extent cx="380242" cy="3396397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168579" y="2094502"/>
                        <a:ext cx="354842" cy="3370997"/>
                      </a:xfrm>
                      <a:prstGeom prst="rect">
                        <a:avLst/>
                      </a:prstGeom>
                      <a:noFill/>
                      <a:ln cap="flat" cmpd="sng" w="25400">
                        <a:solidFill>
                          <a:srgbClr val="FF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 w:rsidR="00270B28"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2260600</wp:posOffset>
                </wp:positionH>
                <wp:positionV relativeFrom="paragraph">
                  <wp:posOffset>1028700</wp:posOffset>
                </wp:positionV>
                <wp:extent cx="380242" cy="3396397"/>
                <wp:effectExtent l="0" t="0" r="0" b="0"/>
                <wp:wrapNone/>
                <wp:docPr id="2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0242" cy="339639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2286000</wp:posOffset>
              </wp:positionH>
              <wp:positionV relativeFrom="paragraph">
                <wp:posOffset>1447800</wp:posOffset>
              </wp:positionV>
              <wp:extent cx="331963" cy="271060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5192719" y="3657170"/>
                        <a:ext cx="306563" cy="245660"/>
                      </a:xfrm>
                      <a:prstGeom prst="rect">
                        <a:avLst/>
                      </a:prstGeom>
                      <a:noFill/>
                      <a:ln cap="flat" cmpd="sng" w="25400">
                        <a:solidFill>
                          <a:srgbClr val="538CD5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 w:rsidR="00270B28"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1447800</wp:posOffset>
                </wp:positionV>
                <wp:extent cx="331963" cy="271060"/>
                <wp:effectExtent l="0" t="0" r="0" b="0"/>
                <wp:wrapNone/>
                <wp:docPr id="4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1963" cy="2710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442C96" w:rsidRDefault="009F2FF6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27" style="position:absolute;left:0;text-align:left;margin-left:186.8pt;margin-top:160.7pt;width:18.45pt;height:76.05pt;z-index:251667456" filled="f" strokecolor="#92d050" strokeweight="2.25pt"/>
        </w:pict>
      </w:r>
      <w:r w:rsidR="00270B28">
        <w:rPr>
          <w:rFonts w:ascii="Times New Roman" w:eastAsia="Times New Roman" w:hAnsi="Times New Roman" w:cs="Times New Roman"/>
          <w:sz w:val="24"/>
          <w:szCs w:val="24"/>
        </w:rPr>
        <w:tab/>
        <w:t>Ри</w:t>
      </w:r>
      <w:r w:rsidR="00270B28">
        <w:rPr>
          <w:rFonts w:ascii="Times New Roman" w:eastAsia="Times New Roman" w:hAnsi="Times New Roman" w:cs="Times New Roman"/>
          <w:sz w:val="24"/>
          <w:szCs w:val="24"/>
        </w:rPr>
        <w:t>сунок – 1. Характеристики исходного топлива.</w: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2311400</wp:posOffset>
              </wp:positionH>
              <wp:positionV relativeFrom="paragraph">
                <wp:posOffset>2070100</wp:posOffset>
              </wp:positionV>
              <wp:extent cx="284708" cy="946036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16346" y="3319682"/>
                        <a:ext cx="259308" cy="920636"/>
                      </a:xfrm>
                      <a:prstGeom prst="rect">
                        <a:avLst/>
                      </a:prstGeom>
                      <a:noFill/>
                      <a:ln cap="flat" cmpd="sng" w="25400">
                        <a:solidFill>
                          <a:srgbClr val="92D05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 w:rsidR="00270B28"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2311400</wp:posOffset>
                </wp:positionH>
                <wp:positionV relativeFrom="paragraph">
                  <wp:posOffset>2070100</wp:posOffset>
                </wp:positionV>
                <wp:extent cx="284708" cy="946036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708" cy="94603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442C96" w:rsidRDefault="00270B28">
      <w:pPr>
        <w:pStyle w:val="normal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 видно из рисунка 1</w:t>
      </w:r>
      <w:r w:rsidR="009F2FF6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представлены многочисленные характеристики состава топлива. Для расчета необходимо выбрать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компоненты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отнесенные к рабочей массе (зеленое выделение). Но прежде чем производить расчет горе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кизеловского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угла необходимо его проанализировать (синее выделение). Согласно ГОСТ-25543-88 [3] Классификация по генетическим и технологическим параметрам: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газовый, Р – рядовой [4], К – коксовый, 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 – мелкий (13-25 мм). Уголь – каменный, маловлажный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высокозольный, т.к.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W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= 1,28,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= 6,63.</w:t>
      </w:r>
    </w:p>
    <w:p w:rsidR="00442C96" w:rsidRDefault="00270B28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= (1000·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)/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Q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42C96" w:rsidRDefault="00270B28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= (1000· 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>)/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Q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где</w:t>
      </w:r>
    </w:p>
    <w:p w:rsidR="00442C96" w:rsidRDefault="00270B28">
      <w:pPr>
        <w:pStyle w:val="normal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приведенная влажность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 %;</w:t>
      </w:r>
      <w:proofErr w:type="gramEnd"/>
    </w:p>
    <w:p w:rsidR="00442C96" w:rsidRDefault="00270B28">
      <w:pPr>
        <w:pStyle w:val="normal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приведенная зольность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 %;</w:t>
      </w:r>
      <w:proofErr w:type="gramEnd"/>
    </w:p>
    <w:p w:rsidR="00442C96" w:rsidRDefault="00270B28">
      <w:pPr>
        <w:pStyle w:val="normal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влажность на рабочую массу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 %;</w:t>
      </w:r>
      <w:proofErr w:type="gramEnd"/>
    </w:p>
    <w:p w:rsidR="00442C96" w:rsidRDefault="00270B28">
      <w:pPr>
        <w:pStyle w:val="normal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зольность на рабочую массу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 %;</w:t>
      </w:r>
      <w:proofErr w:type="gramEnd"/>
    </w:p>
    <w:p w:rsidR="00442C96" w:rsidRDefault="00270B28">
      <w:pPr>
        <w:pStyle w:val="normal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Q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низшая теплота сгорания н</w:t>
      </w:r>
      <w:r>
        <w:rPr>
          <w:rFonts w:ascii="Times New Roman" w:eastAsia="Times New Roman" w:hAnsi="Times New Roman" w:cs="Times New Roman"/>
          <w:sz w:val="24"/>
          <w:szCs w:val="24"/>
        </w:rPr>
        <w:t>а рабочую массу, ккал/кг.</w:t>
      </w:r>
    </w:p>
    <w:p w:rsidR="00442C96" w:rsidRDefault="00270B28">
      <w:pPr>
        <w:pStyle w:val="normal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Если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W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&lt; 3% топливо считают маловлажным, если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&gt; 8% - сильновлажным. Если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&lt; 4% - малозольным.</w:t>
      </w:r>
    </w:p>
    <w:p w:rsidR="00442C96" w:rsidRDefault="00270B28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 полученным характеристикам необходимо подобрать ТСУ. Сжигание твердого топлива возможно в первом варианте в виде взвеси (пыли), но для этого необходимо проектировать систему пылеприготовления и после этого подбирать пылеугольные горелки. По втором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 варианту - сжигание твердого топлива в слое, для этого используются специальные топки. Рассмотрим пример выбора топки для сжигания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кизеловского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угля.</w:t>
      </w:r>
    </w:p>
    <w:p w:rsidR="00442C96" w:rsidRDefault="00270B28">
      <w:pPr>
        <w:pStyle w:val="normal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Для подбора топки необходимо учитывать несколько факторов: параметры топлива, тип котельного агрегата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размер его топки. Размер топки оценивается с помощью чертежей [5]. Для примера задан котел ДКВр-10-13, найдем его чертеж по представленной ссылке) </w:t>
      </w:r>
      <w:r>
        <w:rPr>
          <w:noProof/>
        </w:rPr>
        <w:drawing>
          <wp:inline distT="0" distB="0" distL="0" distR="0">
            <wp:extent cx="184150" cy="170815"/>
            <wp:effectExtent l="0" t="0" r="0" b="0"/>
            <wp:docPr id="8" name="image5.gif" descr="https://dkwr.ru/images/pdf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gif" descr="https://dkwr.ru/images/pdf.gif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1708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Helvetica Neue" w:eastAsia="Helvetica Neue" w:hAnsi="Helvetica Neue" w:cs="Helvetica Neue"/>
          <w:b/>
          <w:color w:val="2E3842"/>
          <w:sz w:val="26"/>
          <w:szCs w:val="26"/>
          <w:highlight w:val="white"/>
        </w:rPr>
        <w:t> </w:t>
      </w:r>
      <w:hyperlink r:id="rId10">
        <w:r>
          <w:rPr>
            <w:rFonts w:ascii="Helvetica Neue" w:eastAsia="Helvetica Neue" w:hAnsi="Helvetica Neue" w:cs="Helvetica Neue"/>
            <w:b/>
            <w:color w:val="0000FF"/>
            <w:sz w:val="26"/>
            <w:szCs w:val="26"/>
            <w:highlight w:val="white"/>
            <w:u w:val="single"/>
          </w:rPr>
          <w:t>Чертеж котла ДКВр-10-13</w:t>
        </w:r>
        <w:proofErr w:type="gramStart"/>
        <w:r>
          <w:rPr>
            <w:rFonts w:ascii="Helvetica Neue" w:eastAsia="Helvetica Neue" w:hAnsi="Helvetica Neue" w:cs="Helvetica Neue"/>
            <w:b/>
            <w:color w:val="0000FF"/>
            <w:sz w:val="26"/>
            <w:szCs w:val="26"/>
            <w:highlight w:val="white"/>
            <w:u w:val="single"/>
          </w:rPr>
          <w:t>С(</w:t>
        </w:r>
        <w:proofErr w:type="gramEnd"/>
        <w:r>
          <w:rPr>
            <w:rFonts w:ascii="Helvetica Neue" w:eastAsia="Helvetica Neue" w:hAnsi="Helvetica Neue" w:cs="Helvetica Neue"/>
            <w:b/>
            <w:color w:val="0000FF"/>
            <w:sz w:val="26"/>
            <w:szCs w:val="26"/>
            <w:highlight w:val="white"/>
            <w:u w:val="single"/>
          </w:rPr>
          <w:t xml:space="preserve">ТЛЗ) (Е-10-1,4Р) и </w:t>
        </w:r>
        <w:r>
          <w:rPr>
            <w:rFonts w:ascii="Helvetica Neue" w:eastAsia="Helvetica Neue" w:hAnsi="Helvetica Neue" w:cs="Helvetica Neue"/>
            <w:b/>
            <w:color w:val="0000FF"/>
            <w:sz w:val="26"/>
            <w:szCs w:val="26"/>
            <w:highlight w:val="white"/>
            <w:u w:val="single"/>
          </w:rPr>
          <w:t>котла ДКВр-10-23С(ТЛЗ) (Е-10-2,4Р)(компановка-02)</w:t>
        </w:r>
      </w:hyperlink>
      <w: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На листе 4 чертежа (рисунок 2) изображен горизонтальный разрез котла ДКВр-10-13 с нанесенными размерами топки.</w:t>
      </w:r>
    </w:p>
    <w:p w:rsidR="00442C96" w:rsidRDefault="00EF7F2F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175.3pt;margin-top:46.4pt;width:0;height:80.65pt;z-index:251669504" o:connectortype="straight" strokecolor="red" strokeweight="2.25pt">
            <v:stroke startarrow="block" endarrow="block"/>
          </v:shape>
        </w:pict>
      </w:r>
      <w:r w:rsidR="00270B28">
        <w:rPr>
          <w:rFonts w:ascii="Times New Roman" w:eastAsia="Times New Roman" w:hAnsi="Times New Roman" w:cs="Times New Roman"/>
          <w:sz w:val="24"/>
          <w:szCs w:val="24"/>
        </w:rPr>
        <w:t>Рисунок 2 – Горизонтальный разрез котла ДКВр-10-13</w:t>
      </w:r>
      <w:r w:rsidR="00270B28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5800090" cy="2585720"/>
            <wp:effectExtent l="0" t="0" r="0" b="0"/>
            <wp:wrapSquare wrapText="bothSides" distT="0" distB="0" distL="114300" distR="114300"/>
            <wp:docPr id="6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1" cstate="print"/>
                    <a:srcRect t="16974" r="2279" b="5520"/>
                    <a:stretch>
                      <a:fillRect/>
                    </a:stretch>
                  </pic:blipFill>
                  <pic:spPr>
                    <a:xfrm>
                      <a:off x="0" y="0"/>
                      <a:ext cx="5800090" cy="2585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2438400</wp:posOffset>
              </wp:positionH>
              <wp:positionV relativeFrom="paragraph">
                <wp:posOffset>571500</wp:posOffset>
              </wp:positionV>
              <wp:extent cx="25400" cy="102298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5346000" y="3268508"/>
                        <a:ext cx="0" cy="1022985"/>
                      </a:xfrm>
                      <a:prstGeom prst="straightConnector1">
                        <a:avLst/>
                      </a:prstGeom>
                      <a:noFill/>
                      <a:ln cap="flat" cmpd="sng" w="19050">
                        <a:solidFill>
                          <a:srgbClr val="FF0000"/>
                        </a:solidFill>
                        <a:prstDash val="solid"/>
                        <a:round/>
                        <a:headEnd len="med" w="med" type="stealth"/>
                        <a:tailEnd len="med" w="med" type="stealth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 w:rsidR="00270B28">
            <w:rPr>
              <w:noProof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571500</wp:posOffset>
                </wp:positionV>
                <wp:extent cx="25400" cy="1022985"/>
                <wp:effectExtent l="0" t="0" r="0" b="0"/>
                <wp:wrapNone/>
                <wp:docPr id="3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10229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442C96" w:rsidRDefault="00270B28">
      <w:pPr>
        <w:pStyle w:val="normal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Из рисунка 2 видно, что ширина топки 270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 мм (красная </w:t>
      </w:r>
      <w:r w:rsidR="00EF7F2F">
        <w:rPr>
          <w:rFonts w:ascii="Times New Roman" w:eastAsia="Times New Roman" w:hAnsi="Times New Roman" w:cs="Times New Roman"/>
          <w:sz w:val="24"/>
          <w:szCs w:val="24"/>
        </w:rPr>
        <w:t>стрелка). Согласно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сновным характеристикам котла ДКВр-10-13 (табл. 8.17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Роддатис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площадь поверхности зеркала горения для этого котла 8,7 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По таблице 21 [1] или 7.12 [2]  определяем тип топки. Для каменного угля подходит топка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пневмомехан</w:t>
      </w:r>
      <w:r>
        <w:rPr>
          <w:rFonts w:ascii="Times New Roman" w:eastAsia="Times New Roman" w:hAnsi="Times New Roman" w:cs="Times New Roman"/>
          <w:sz w:val="24"/>
          <w:szCs w:val="24"/>
        </w:rPr>
        <w:t>ическим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забрасывателем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цепной решеткой обратного хода (рисунок 3).</w:t>
      </w:r>
    </w:p>
    <w:p w:rsidR="00442C96" w:rsidRDefault="008B7138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30" style="position:absolute;margin-left:107.35pt;margin-top:70pt;width:32.25pt;height:183.15pt;z-index:251670528" filled="f" strokecolor="red" strokeweight="2.25pt"/>
        </w:pic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1371600</wp:posOffset>
              </wp:positionH>
              <wp:positionV relativeFrom="paragraph">
                <wp:posOffset>876300</wp:posOffset>
              </wp:positionV>
              <wp:extent cx="359770" cy="2311400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5178815" y="2637000"/>
                        <a:ext cx="334370" cy="2286000"/>
                      </a:xfrm>
                      <a:prstGeom prst="rect">
                        <a:avLst/>
                      </a:prstGeom>
                      <a:noFill/>
                      <a:ln cap="flat" cmpd="sng" w="25400">
                        <a:solidFill>
                          <a:srgbClr val="FF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1370456</wp:posOffset>
                </wp:positionH>
                <wp:positionV relativeFrom="paragraph">
                  <wp:posOffset>874370</wp:posOffset>
                </wp:positionV>
                <wp:extent cx="482803" cy="2303064"/>
                <wp:effectExtent l="0" t="0" r="0" b="0"/>
                <wp:wrapNone/>
                <wp:docPr id="5" name="image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2687" cy="23025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w:r w:rsidR="00270B28">
        <w:rPr>
          <w:rFonts w:ascii="Times New Roman" w:eastAsia="Times New Roman" w:hAnsi="Times New Roman" w:cs="Times New Roman"/>
          <w:sz w:val="24"/>
          <w:szCs w:val="24"/>
        </w:rPr>
        <w:br/>
      </w:r>
      <w:r w:rsidR="00270B28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490220</wp:posOffset>
            </wp:positionH>
            <wp:positionV relativeFrom="paragraph">
              <wp:posOffset>120015</wp:posOffset>
            </wp:positionV>
            <wp:extent cx="4851400" cy="3115945"/>
            <wp:effectExtent l="0" t="0" r="0" b="0"/>
            <wp:wrapSquare wrapText="bothSides" distT="0" distB="0" distL="114300" distR="114300"/>
            <wp:docPr id="9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4" cstate="print"/>
                    <a:srcRect l="22073" t="13701" r="24172" b="24873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31159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42C96" w:rsidRDefault="00270B28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выделенному красному столбцу определяют коэффициент избытка воздуха, например для данной топки он лежит в пределах α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1,3-1,4, конкретное значение выбирается на усмотрение проект</w:t>
      </w:r>
      <w:r>
        <w:rPr>
          <w:rFonts w:ascii="Times New Roman" w:eastAsia="Times New Roman" w:hAnsi="Times New Roman" w:cs="Times New Roman"/>
          <w:sz w:val="24"/>
          <w:szCs w:val="24"/>
        </w:rPr>
        <w:t>ировщика, потери теплоты от химической механической неполноты сгорания q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q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 По 2-15 [6] видно, что представленным требованиям отвечает топка ПМЗ-ЛЦР-2700/4000 с активной площадью горения 8,7 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42C96" w:rsidRDefault="00270B28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Что касается выбора горелок при сжигании газообразного 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плива, то для котлов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ДКВр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рекомендуются Щелевые горелки и горелки типа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ГМГм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(таблицы 7.52 и 7.58) [2]. Коэффициент избытка воздуха для горелок в основном принимают для экранированных топок α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1,1-1,15. Потери q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1 - 1,5%. Подбор форсунок для сжигания 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азута проводят аналогично подбору горелок, принимая во внимание марку мазута и способ распыливания (механическое, горячим воздухом, водяным паром). </w:t>
      </w:r>
    </w:p>
    <w:p w:rsidR="00442C96" w:rsidRDefault="00270B28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При задании количества присосов по тракту котельного агрегата используют таблицу 26 [1]. Для начала по черт</w:t>
      </w:r>
      <w:r>
        <w:rPr>
          <w:rFonts w:ascii="Times New Roman" w:eastAsia="Times New Roman" w:hAnsi="Times New Roman" w:cs="Times New Roman"/>
          <w:sz w:val="24"/>
          <w:szCs w:val="24"/>
        </w:rPr>
        <w:t>ежам выбирается последовательность установки оборудования (пароперегреватель, конвективные поверхности газоходов, экономайзер, воздухоподогреватель). Это можно установить с помощью чертежа заданного котла (его горизонтального разреза). Например, для заданн</w:t>
      </w:r>
      <w:r>
        <w:rPr>
          <w:rFonts w:ascii="Times New Roman" w:eastAsia="Times New Roman" w:hAnsi="Times New Roman" w:cs="Times New Roman"/>
          <w:sz w:val="24"/>
          <w:szCs w:val="24"/>
        </w:rPr>
        <w:t>ого котла последовательность следующая: топка, 1-ый газоход, 2-ой газоход, экономайзер. Итого согласно таблице 26 [1]: α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=0,05, α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к2</w:t>
      </w:r>
      <w:r>
        <w:rPr>
          <w:rFonts w:ascii="Times New Roman" w:eastAsia="Times New Roman" w:hAnsi="Times New Roman" w:cs="Times New Roman"/>
          <w:sz w:val="24"/>
          <w:szCs w:val="24"/>
        </w:rPr>
        <w:t>=0,1, α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э</w:t>
      </w:r>
      <w:r>
        <w:rPr>
          <w:rFonts w:ascii="Times New Roman" w:eastAsia="Times New Roman" w:hAnsi="Times New Roman" w:cs="Times New Roman"/>
          <w:sz w:val="24"/>
          <w:szCs w:val="24"/>
        </w:rPr>
        <w:t>=0,1 (например, для экономайзера чугунного с обшивкой).</w:t>
      </w:r>
      <w:r w:rsidR="008B71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8B7138">
        <w:rPr>
          <w:rFonts w:ascii="Times New Roman" w:eastAsia="Times New Roman" w:hAnsi="Times New Roman" w:cs="Times New Roman"/>
          <w:sz w:val="24"/>
          <w:szCs w:val="24"/>
        </w:rPr>
        <w:t>Книги</w:t>
      </w:r>
      <w:proofErr w:type="gramEnd"/>
      <w:r w:rsidR="008B7138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представленные в списке литературы можно получить в библиотеке МГТУ или по ссылкам на образовательном портале.</w:t>
      </w:r>
    </w:p>
    <w:p w:rsidR="00442C96" w:rsidRDefault="00442C96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2C96" w:rsidRDefault="00270B28">
      <w:pPr>
        <w:pStyle w:val="normal"/>
        <w:tabs>
          <w:tab w:val="left" w:pos="3396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Список используемых источников</w:t>
      </w:r>
    </w:p>
    <w:p w:rsidR="00442C96" w:rsidRDefault="00270B28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39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Тепловой расчет котельных агрегатов: Нормативный метод / под ред. Н.В. Кузнецова. М.: Энергия, 1973. 295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42C96" w:rsidRDefault="00270B28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39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Роддатис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К.Ф.,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Полтарецкий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А.Н. Справочник по котельным установкам малой производительности.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Энергоатомиздат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1981. 487 с.</w:t>
      </w:r>
    </w:p>
    <w:p w:rsidR="00442C96" w:rsidRDefault="00442C9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39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5">
        <w:r w:rsidR="00270B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http://protect.gost.ru/document.aspx?control=7&amp;id=139883</w:t>
        </w:r>
      </w:hyperlink>
      <w:r w:rsidR="00270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42C96" w:rsidRDefault="00442C9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39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6">
        <w:r w:rsidR="00270B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https://ru.w</w:t>
        </w:r>
        <w:r w:rsidR="00270B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ikipedia.org/wiki/%D0%9C%D0%B0%D1%80%D0%BA%D0%B8%D1%80%D0%BE%D0%B2%D0%BA%D0%B0_%D1%83%D0%B3%D0%BB%D1%8F</w:t>
        </w:r>
      </w:hyperlink>
      <w:r w:rsidR="00270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42C96" w:rsidRDefault="00442C9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39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7">
        <w:r w:rsidR="00270B2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https://dkwr.ru/</w:t>
        </w:r>
      </w:hyperlink>
      <w:r w:rsidR="00270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42C96" w:rsidRDefault="00270B28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396"/>
        </w:tabs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Гусев Ю.Л. Основы проектирования котельных установок: учеб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особие.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Стройиздат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1973. 248 с.</w:t>
      </w:r>
    </w:p>
    <w:sectPr w:rsidR="00442C96" w:rsidSect="00442C9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C69CC"/>
    <w:multiLevelType w:val="multilevel"/>
    <w:tmpl w:val="68482D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42C96"/>
    <w:rsid w:val="00270B28"/>
    <w:rsid w:val="00442C96"/>
    <w:rsid w:val="008B7138"/>
    <w:rsid w:val="009F2FF6"/>
    <w:rsid w:val="00EF7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red"/>
    </o:shapedefaults>
    <o:shapelayout v:ext="edit">
      <o:idmap v:ext="edit" data="1"/>
      <o:rules v:ext="edit"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442C9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442C9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442C9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442C9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442C9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442C9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42C96"/>
  </w:style>
  <w:style w:type="table" w:customStyle="1" w:styleId="TableNormal">
    <w:name w:val="Table Normal"/>
    <w:rsid w:val="00442C9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42C9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442C9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9F2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2F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hyperlink" Target="https://dkwr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C%D0%B0%D1%80%D0%BA%D0%B8%D1%80%D0%BE%D0%B2%D0%BA%D0%B0_%D1%83%D0%B3%D0%BB%D1%8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hyperlink" Target="http://protect.gost.ru/document.aspx?control=7&amp;id=139883" TargetMode="External"/><Relationship Id="rId10" Type="http://schemas.openxmlformats.org/officeDocument/2006/relationships/hyperlink" Target="https://dkwr.ru/files/dkwr10-13-23c(tls)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s.matveev</cp:lastModifiedBy>
  <cp:revision>2</cp:revision>
  <dcterms:created xsi:type="dcterms:W3CDTF">2021-03-11T11:53:00Z</dcterms:created>
  <dcterms:modified xsi:type="dcterms:W3CDTF">2021-03-11T12:10:00Z</dcterms:modified>
</cp:coreProperties>
</file>